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D0D0" w14:textId="77777777" w:rsidR="000A1ED8" w:rsidRPr="006039AC" w:rsidRDefault="000A1ED8" w:rsidP="00B46262">
      <w:pPr>
        <w:spacing w:after="0" w:line="240" w:lineRule="auto"/>
        <w:contextualSpacing/>
        <w:rPr>
          <w:rFonts w:ascii="Century" w:hAnsi="Century" w:cs="Times New Roman"/>
        </w:rPr>
      </w:pPr>
    </w:p>
    <w:p w14:paraId="71A2E119" w14:textId="77777777" w:rsidR="00393B2E" w:rsidRDefault="00393B2E" w:rsidP="00393B2E">
      <w:pPr>
        <w:spacing w:line="278" w:lineRule="auto"/>
        <w:rPr>
          <w:rFonts w:ascii="Century" w:hAnsi="Century" w:cs="Times New Roman"/>
        </w:rPr>
      </w:pPr>
    </w:p>
    <w:p w14:paraId="59CABBE1" w14:textId="08E667C5" w:rsidR="00393B2E" w:rsidRPr="00630E33" w:rsidRDefault="00393B2E" w:rsidP="00393B2E">
      <w:pPr>
        <w:spacing w:after="0" w:line="278" w:lineRule="auto"/>
        <w:jc w:val="center"/>
        <w:rPr>
          <w:rFonts w:ascii="Times New Roman" w:hAnsi="Times New Roman" w:cs="Times New Roman"/>
          <w:b/>
          <w:bCs/>
          <w:sz w:val="24"/>
          <w:szCs w:val="24"/>
        </w:rPr>
      </w:pPr>
      <w:r w:rsidRPr="00630E33">
        <w:rPr>
          <w:rFonts w:ascii="Times New Roman" w:hAnsi="Times New Roman" w:cs="Times New Roman"/>
          <w:b/>
          <w:bCs/>
          <w:sz w:val="24"/>
          <w:szCs w:val="24"/>
        </w:rPr>
        <w:t xml:space="preserve">Statement to the </w:t>
      </w:r>
      <w:r w:rsidR="003A7E0D">
        <w:rPr>
          <w:rFonts w:ascii="Times New Roman" w:hAnsi="Times New Roman" w:cs="Times New Roman"/>
          <w:b/>
          <w:bCs/>
          <w:sz w:val="24"/>
          <w:szCs w:val="24"/>
        </w:rPr>
        <w:t xml:space="preserve">Senate </w:t>
      </w:r>
      <w:r w:rsidR="005506D3" w:rsidRPr="005506D3">
        <w:rPr>
          <w:rFonts w:ascii="Times New Roman" w:hAnsi="Times New Roman" w:cs="Times New Roman"/>
          <w:b/>
          <w:bCs/>
          <w:sz w:val="24"/>
          <w:szCs w:val="24"/>
        </w:rPr>
        <w:t xml:space="preserve">Committee on </w:t>
      </w:r>
      <w:r w:rsidR="003A7E0D">
        <w:rPr>
          <w:rFonts w:ascii="Times New Roman" w:hAnsi="Times New Roman" w:cs="Times New Roman"/>
          <w:b/>
          <w:bCs/>
          <w:sz w:val="24"/>
          <w:szCs w:val="24"/>
        </w:rPr>
        <w:t>Health, Education, Labor, and Pensions</w:t>
      </w:r>
    </w:p>
    <w:p w14:paraId="51969C26" w14:textId="77777777" w:rsidR="00393B2E" w:rsidRPr="00630E33" w:rsidRDefault="00393B2E" w:rsidP="00393B2E">
      <w:pPr>
        <w:spacing w:after="0" w:line="278" w:lineRule="auto"/>
        <w:jc w:val="center"/>
        <w:rPr>
          <w:rFonts w:ascii="Times New Roman" w:hAnsi="Times New Roman" w:cs="Times New Roman"/>
          <w:sz w:val="24"/>
          <w:szCs w:val="24"/>
        </w:rPr>
      </w:pPr>
    </w:p>
    <w:p w14:paraId="2A40A91C" w14:textId="77777777" w:rsidR="00393B2E" w:rsidRPr="00630E33" w:rsidRDefault="00393B2E" w:rsidP="00393B2E">
      <w:pPr>
        <w:spacing w:after="0" w:line="278" w:lineRule="auto"/>
        <w:jc w:val="center"/>
        <w:rPr>
          <w:rFonts w:ascii="Times New Roman" w:hAnsi="Times New Roman" w:cs="Times New Roman"/>
          <w:sz w:val="24"/>
          <w:szCs w:val="24"/>
        </w:rPr>
      </w:pPr>
    </w:p>
    <w:p w14:paraId="366F4F1D" w14:textId="673AD364" w:rsidR="00ED1FBD" w:rsidRDefault="00630E33" w:rsidP="00393B2E">
      <w:pPr>
        <w:spacing w:after="0" w:line="278" w:lineRule="auto"/>
        <w:jc w:val="center"/>
        <w:rPr>
          <w:rFonts w:ascii="Times New Roman" w:hAnsi="Times New Roman" w:cs="Times New Roman"/>
          <w:b/>
          <w:bCs/>
          <w:i/>
          <w:iCs/>
          <w:sz w:val="24"/>
          <w:szCs w:val="24"/>
        </w:rPr>
      </w:pPr>
      <w:r w:rsidRPr="00ED1FBD">
        <w:rPr>
          <w:rFonts w:ascii="Times New Roman" w:hAnsi="Times New Roman" w:cs="Times New Roman"/>
          <w:b/>
          <w:bCs/>
          <w:i/>
          <w:iCs/>
          <w:sz w:val="24"/>
          <w:szCs w:val="24"/>
        </w:rPr>
        <w:t>Hearing</w:t>
      </w:r>
      <w:r w:rsidR="00ED1FBD">
        <w:rPr>
          <w:rFonts w:ascii="Times New Roman" w:hAnsi="Times New Roman" w:cs="Times New Roman"/>
          <w:b/>
          <w:bCs/>
          <w:i/>
          <w:iCs/>
          <w:sz w:val="24"/>
          <w:szCs w:val="24"/>
        </w:rPr>
        <w:t>:</w:t>
      </w:r>
    </w:p>
    <w:p w14:paraId="7F073F7C" w14:textId="77777777" w:rsidR="00ED1FBD" w:rsidRPr="00ED1FBD" w:rsidRDefault="00ED1FBD" w:rsidP="00393B2E">
      <w:pPr>
        <w:spacing w:after="0" w:line="278" w:lineRule="auto"/>
        <w:jc w:val="center"/>
        <w:rPr>
          <w:rFonts w:ascii="Times New Roman" w:hAnsi="Times New Roman" w:cs="Times New Roman"/>
          <w:b/>
          <w:bCs/>
          <w:i/>
          <w:iCs/>
          <w:sz w:val="24"/>
          <w:szCs w:val="24"/>
        </w:rPr>
      </w:pPr>
    </w:p>
    <w:p w14:paraId="5F2FB6F9" w14:textId="16C70FA5" w:rsidR="00393B2E" w:rsidRPr="00630E33" w:rsidRDefault="003A7E0D" w:rsidP="00393B2E">
      <w:pPr>
        <w:spacing w:after="0" w:line="278" w:lineRule="auto"/>
        <w:jc w:val="center"/>
        <w:rPr>
          <w:rFonts w:ascii="Times New Roman" w:hAnsi="Times New Roman" w:cs="Times New Roman"/>
          <w:sz w:val="24"/>
          <w:szCs w:val="24"/>
        </w:rPr>
      </w:pPr>
      <w:r>
        <w:rPr>
          <w:rFonts w:ascii="Times New Roman" w:hAnsi="Times New Roman" w:cs="Times New Roman"/>
          <w:i/>
          <w:iCs/>
          <w:sz w:val="24"/>
          <w:szCs w:val="24"/>
        </w:rPr>
        <w:t>The Future of Retirement</w:t>
      </w:r>
    </w:p>
    <w:p w14:paraId="448B55C8" w14:textId="77777777" w:rsidR="00393B2E" w:rsidRPr="00630E33" w:rsidRDefault="00393B2E" w:rsidP="00393B2E">
      <w:pPr>
        <w:spacing w:after="0" w:line="278" w:lineRule="auto"/>
        <w:jc w:val="center"/>
        <w:rPr>
          <w:rFonts w:ascii="Times New Roman" w:hAnsi="Times New Roman" w:cs="Times New Roman"/>
          <w:sz w:val="24"/>
          <w:szCs w:val="24"/>
        </w:rPr>
      </w:pPr>
    </w:p>
    <w:p w14:paraId="3066C601" w14:textId="77777777" w:rsidR="00393B2E" w:rsidRPr="00630E33" w:rsidRDefault="00393B2E" w:rsidP="00393B2E">
      <w:pPr>
        <w:spacing w:after="0" w:line="278" w:lineRule="auto"/>
        <w:jc w:val="center"/>
        <w:rPr>
          <w:rFonts w:ascii="Times New Roman" w:hAnsi="Times New Roman" w:cs="Times New Roman"/>
          <w:sz w:val="24"/>
          <w:szCs w:val="24"/>
        </w:rPr>
      </w:pPr>
    </w:p>
    <w:p w14:paraId="71C6E0DD" w14:textId="3275B27C" w:rsidR="00393B2E" w:rsidRPr="00630E33" w:rsidRDefault="00755D34" w:rsidP="00393B2E">
      <w:pPr>
        <w:spacing w:after="0" w:line="278" w:lineRule="auto"/>
        <w:jc w:val="center"/>
        <w:rPr>
          <w:rFonts w:ascii="Times New Roman" w:hAnsi="Times New Roman" w:cs="Times New Roman"/>
          <w:sz w:val="24"/>
          <w:szCs w:val="24"/>
        </w:rPr>
      </w:pPr>
      <w:r>
        <w:rPr>
          <w:rFonts w:ascii="Times New Roman" w:hAnsi="Times New Roman" w:cs="Times New Roman"/>
          <w:sz w:val="24"/>
          <w:szCs w:val="24"/>
        </w:rPr>
        <w:t xml:space="preserve">November </w:t>
      </w:r>
      <w:r w:rsidR="003A7E0D">
        <w:rPr>
          <w:rFonts w:ascii="Times New Roman" w:hAnsi="Times New Roman" w:cs="Times New Roman"/>
          <w:sz w:val="24"/>
          <w:szCs w:val="24"/>
        </w:rPr>
        <w:t>20</w:t>
      </w:r>
      <w:r w:rsidR="00014BE0" w:rsidRPr="00630E33">
        <w:rPr>
          <w:rFonts w:ascii="Times New Roman" w:hAnsi="Times New Roman" w:cs="Times New Roman"/>
          <w:sz w:val="24"/>
          <w:szCs w:val="24"/>
        </w:rPr>
        <w:t>, 2025</w:t>
      </w:r>
    </w:p>
    <w:p w14:paraId="75AD6994" w14:textId="77777777" w:rsidR="00393B2E" w:rsidRPr="00630E33" w:rsidRDefault="00393B2E" w:rsidP="00393B2E">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10:00 a.m.</w:t>
      </w:r>
    </w:p>
    <w:p w14:paraId="18B8572B" w14:textId="650335E3" w:rsidR="00393B2E" w:rsidRPr="00630E33" w:rsidRDefault="00265386" w:rsidP="00393B2E">
      <w:pPr>
        <w:spacing w:after="0" w:line="278" w:lineRule="auto"/>
        <w:jc w:val="center"/>
        <w:rPr>
          <w:rFonts w:ascii="Times New Roman" w:hAnsi="Times New Roman" w:cs="Times New Roman"/>
          <w:sz w:val="24"/>
          <w:szCs w:val="24"/>
        </w:rPr>
      </w:pPr>
      <w:r>
        <w:rPr>
          <w:rFonts w:ascii="Times New Roman" w:hAnsi="Times New Roman" w:cs="Times New Roman"/>
          <w:sz w:val="24"/>
          <w:szCs w:val="24"/>
        </w:rPr>
        <w:t xml:space="preserve">Dirksen Senate </w:t>
      </w:r>
      <w:r w:rsidR="00393B2E" w:rsidRPr="00630E33">
        <w:rPr>
          <w:rFonts w:ascii="Times New Roman" w:hAnsi="Times New Roman" w:cs="Times New Roman"/>
          <w:sz w:val="24"/>
          <w:szCs w:val="24"/>
        </w:rPr>
        <w:t xml:space="preserve">Office Building, Room </w:t>
      </w:r>
      <w:r>
        <w:rPr>
          <w:rFonts w:ascii="Times New Roman" w:hAnsi="Times New Roman" w:cs="Times New Roman"/>
          <w:sz w:val="24"/>
          <w:szCs w:val="24"/>
        </w:rPr>
        <w:t>430</w:t>
      </w:r>
    </w:p>
    <w:p w14:paraId="72F4BE98" w14:textId="77777777" w:rsidR="00393B2E" w:rsidRPr="00630E33" w:rsidRDefault="00393B2E" w:rsidP="00393B2E">
      <w:pPr>
        <w:spacing w:after="0" w:line="278" w:lineRule="auto"/>
        <w:jc w:val="center"/>
        <w:rPr>
          <w:rFonts w:ascii="Times New Roman" w:hAnsi="Times New Roman" w:cs="Times New Roman"/>
          <w:sz w:val="24"/>
          <w:szCs w:val="24"/>
        </w:rPr>
      </w:pPr>
    </w:p>
    <w:p w14:paraId="3240D357" w14:textId="77777777" w:rsidR="00393B2E" w:rsidRPr="00630E33" w:rsidRDefault="00393B2E" w:rsidP="00393B2E">
      <w:pPr>
        <w:spacing w:after="0" w:line="278" w:lineRule="auto"/>
        <w:jc w:val="center"/>
        <w:rPr>
          <w:rFonts w:ascii="Times New Roman" w:hAnsi="Times New Roman" w:cs="Times New Roman"/>
          <w:sz w:val="24"/>
          <w:szCs w:val="24"/>
        </w:rPr>
      </w:pPr>
    </w:p>
    <w:p w14:paraId="7BF88FD6" w14:textId="77777777" w:rsidR="00393B2E" w:rsidRPr="00630E33" w:rsidRDefault="00393B2E" w:rsidP="00393B2E">
      <w:pPr>
        <w:spacing w:after="0" w:line="278" w:lineRule="auto"/>
        <w:jc w:val="center"/>
        <w:rPr>
          <w:rFonts w:ascii="Times New Roman" w:hAnsi="Times New Roman" w:cs="Times New Roman"/>
          <w:sz w:val="24"/>
          <w:szCs w:val="24"/>
        </w:rPr>
      </w:pPr>
    </w:p>
    <w:p w14:paraId="46FA9A1E" w14:textId="0C9FF114" w:rsidR="00393B2E" w:rsidRPr="003855F2" w:rsidRDefault="00393B2E" w:rsidP="00393B2E">
      <w:pPr>
        <w:spacing w:after="0" w:line="278" w:lineRule="auto"/>
        <w:jc w:val="center"/>
        <w:rPr>
          <w:rFonts w:ascii="Times New Roman" w:hAnsi="Times New Roman" w:cs="Times New Roman"/>
          <w:b/>
          <w:bCs/>
          <w:sz w:val="24"/>
          <w:szCs w:val="24"/>
        </w:rPr>
      </w:pPr>
    </w:p>
    <w:p w14:paraId="16F74A37" w14:textId="77777777" w:rsidR="00393B2E" w:rsidRDefault="00393B2E" w:rsidP="00393B2E">
      <w:pPr>
        <w:spacing w:line="278" w:lineRule="auto"/>
        <w:rPr>
          <w:rFonts w:ascii="Times New Roman" w:hAnsi="Times New Roman" w:cs="Times New Roman"/>
          <w:sz w:val="24"/>
          <w:szCs w:val="24"/>
        </w:rPr>
      </w:pPr>
    </w:p>
    <w:p w14:paraId="0B9DC32C" w14:textId="54D6601C" w:rsidR="006C3C60" w:rsidRPr="00EA1C1C" w:rsidRDefault="00EA1C1C" w:rsidP="00EA1C1C">
      <w:pPr>
        <w:spacing w:line="278"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ESG Investing, ERISA, and Pension Security</w:t>
      </w:r>
    </w:p>
    <w:p w14:paraId="6442CD16" w14:textId="77777777" w:rsidR="006C3C60" w:rsidRDefault="006C3C60" w:rsidP="00393B2E">
      <w:pPr>
        <w:spacing w:line="278" w:lineRule="auto"/>
        <w:rPr>
          <w:rFonts w:ascii="Times New Roman" w:hAnsi="Times New Roman" w:cs="Times New Roman"/>
          <w:sz w:val="24"/>
          <w:szCs w:val="24"/>
        </w:rPr>
      </w:pPr>
    </w:p>
    <w:p w14:paraId="633AB284" w14:textId="77777777" w:rsidR="006C3C60" w:rsidRPr="00630E33" w:rsidRDefault="006C3C60" w:rsidP="00393B2E">
      <w:pPr>
        <w:spacing w:line="278" w:lineRule="auto"/>
        <w:rPr>
          <w:rFonts w:ascii="Times New Roman" w:hAnsi="Times New Roman" w:cs="Times New Roman"/>
          <w:sz w:val="24"/>
          <w:szCs w:val="24"/>
        </w:rPr>
      </w:pPr>
    </w:p>
    <w:p w14:paraId="27E6E73D" w14:textId="77777777" w:rsidR="00393B2E" w:rsidRPr="00630E33" w:rsidRDefault="00393B2E" w:rsidP="00393B2E">
      <w:pPr>
        <w:spacing w:line="278" w:lineRule="auto"/>
        <w:rPr>
          <w:rFonts w:ascii="Times New Roman" w:hAnsi="Times New Roman" w:cs="Times New Roman"/>
          <w:sz w:val="24"/>
          <w:szCs w:val="24"/>
        </w:rPr>
      </w:pPr>
    </w:p>
    <w:p w14:paraId="6041DF08" w14:textId="77777777" w:rsidR="00393B2E" w:rsidRPr="00630E33" w:rsidRDefault="00393B2E" w:rsidP="00D35F7D">
      <w:pPr>
        <w:spacing w:after="0" w:line="278" w:lineRule="auto"/>
        <w:rPr>
          <w:rFonts w:ascii="Times New Roman" w:hAnsi="Times New Roman" w:cs="Times New Roman"/>
          <w:sz w:val="24"/>
          <w:szCs w:val="24"/>
        </w:rPr>
      </w:pPr>
    </w:p>
    <w:p w14:paraId="5A1627DF" w14:textId="77777777" w:rsidR="00393B2E" w:rsidRPr="00630E33" w:rsidRDefault="00393B2E" w:rsidP="00D35F7D">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James R. Copland</w:t>
      </w:r>
    </w:p>
    <w:p w14:paraId="3043BA4D" w14:textId="77777777" w:rsidR="00D35F7D" w:rsidRDefault="00393B2E" w:rsidP="00D35F7D">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 xml:space="preserve">Senior Fellow and Director, Legal Policy </w:t>
      </w:r>
    </w:p>
    <w:p w14:paraId="3E1C1405" w14:textId="77777777" w:rsidR="00D35F7D" w:rsidRDefault="00393B2E" w:rsidP="00D35F7D">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 xml:space="preserve">Manhattan Institute for Policy Research </w:t>
      </w:r>
    </w:p>
    <w:p w14:paraId="1F047A6B" w14:textId="314EFBBB" w:rsidR="00393B2E" w:rsidRPr="00630E33" w:rsidRDefault="00393B2E" w:rsidP="00D35F7D">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52 Vanderbilt Avenue</w:t>
      </w:r>
    </w:p>
    <w:p w14:paraId="09D91DA3" w14:textId="77777777" w:rsidR="00393B2E" w:rsidRPr="00630E33" w:rsidRDefault="00393B2E" w:rsidP="00D35F7D">
      <w:pPr>
        <w:spacing w:after="0" w:line="278" w:lineRule="auto"/>
        <w:jc w:val="center"/>
        <w:rPr>
          <w:rFonts w:ascii="Times New Roman" w:hAnsi="Times New Roman" w:cs="Times New Roman"/>
          <w:sz w:val="24"/>
          <w:szCs w:val="24"/>
        </w:rPr>
      </w:pPr>
      <w:r w:rsidRPr="00630E33">
        <w:rPr>
          <w:rFonts w:ascii="Times New Roman" w:hAnsi="Times New Roman" w:cs="Times New Roman"/>
          <w:sz w:val="24"/>
          <w:szCs w:val="24"/>
        </w:rPr>
        <w:t>New York, NY 10017</w:t>
      </w:r>
    </w:p>
    <w:p w14:paraId="6952A39F" w14:textId="77777777" w:rsidR="00393B2E" w:rsidRPr="00630E33" w:rsidRDefault="00393B2E" w:rsidP="00393B2E">
      <w:pPr>
        <w:spacing w:line="278" w:lineRule="auto"/>
        <w:rPr>
          <w:rFonts w:ascii="Times New Roman" w:hAnsi="Times New Roman" w:cs="Times New Roman"/>
          <w:sz w:val="24"/>
          <w:szCs w:val="24"/>
        </w:rPr>
      </w:pPr>
    </w:p>
    <w:p w14:paraId="5E7D5A9A" w14:textId="77777777" w:rsidR="00BA1C35" w:rsidRDefault="00BA1C35" w:rsidP="00393B2E">
      <w:pPr>
        <w:spacing w:line="278" w:lineRule="auto"/>
        <w:rPr>
          <w:rFonts w:ascii="Times New Roman" w:hAnsi="Times New Roman" w:cs="Times New Roman"/>
          <w:sz w:val="24"/>
          <w:szCs w:val="24"/>
        </w:rPr>
      </w:pPr>
    </w:p>
    <w:p w14:paraId="0212870C" w14:textId="77777777" w:rsidR="00BA1C35" w:rsidRPr="00630E33" w:rsidRDefault="00BA1C35" w:rsidP="00393B2E">
      <w:pPr>
        <w:spacing w:line="278" w:lineRule="auto"/>
        <w:rPr>
          <w:rFonts w:ascii="Times New Roman" w:hAnsi="Times New Roman" w:cs="Times New Roman"/>
          <w:sz w:val="24"/>
          <w:szCs w:val="24"/>
        </w:rPr>
      </w:pPr>
    </w:p>
    <w:p w14:paraId="5CEEB3C5" w14:textId="58830370" w:rsidR="00393B2E" w:rsidRPr="007C21BB" w:rsidRDefault="00393B2E" w:rsidP="00393B2E">
      <w:pPr>
        <w:spacing w:line="278" w:lineRule="auto"/>
        <w:rPr>
          <w:rFonts w:ascii="Times New Roman" w:hAnsi="Times New Roman" w:cs="Times New Roman"/>
          <w:i/>
          <w:iCs/>
          <w:sz w:val="24"/>
          <w:szCs w:val="24"/>
        </w:rPr>
      </w:pPr>
      <w:r w:rsidRPr="007C21BB">
        <w:rPr>
          <w:rFonts w:ascii="Times New Roman" w:hAnsi="Times New Roman" w:cs="Times New Roman"/>
          <w:i/>
          <w:iCs/>
          <w:sz w:val="24"/>
          <w:szCs w:val="24"/>
        </w:rPr>
        <w:t xml:space="preserve">The Manhattan Institute for Policy Research does not take institutional positions on legislation, rules, or regulations. Although my comments draw upon my </w:t>
      </w:r>
      <w:r w:rsidR="00BA1C35">
        <w:rPr>
          <w:rFonts w:ascii="Times New Roman" w:hAnsi="Times New Roman" w:cs="Times New Roman"/>
          <w:i/>
          <w:iCs/>
          <w:sz w:val="24"/>
          <w:szCs w:val="24"/>
        </w:rPr>
        <w:t xml:space="preserve">research </w:t>
      </w:r>
      <w:r w:rsidRPr="007C21BB">
        <w:rPr>
          <w:rFonts w:ascii="Times New Roman" w:hAnsi="Times New Roman" w:cs="Times New Roman"/>
          <w:i/>
          <w:iCs/>
          <w:sz w:val="24"/>
          <w:szCs w:val="24"/>
        </w:rPr>
        <w:t>as an Institute scholar, my statement before the subcommittee is solely my own, not my employer’s.</w:t>
      </w:r>
    </w:p>
    <w:p w14:paraId="6785B6D2" w14:textId="063DC5CB" w:rsidR="00510E0E" w:rsidRPr="00510E0E" w:rsidRDefault="00BA1C35" w:rsidP="006C3C60">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r w:rsidR="00510E0E" w:rsidRPr="00510E0E">
        <w:rPr>
          <w:rFonts w:ascii="Times New Roman" w:hAnsi="Times New Roman" w:cs="Times New Roman"/>
          <w:b/>
          <w:bCs/>
          <w:sz w:val="24"/>
          <w:szCs w:val="24"/>
        </w:rPr>
        <w:lastRenderedPageBreak/>
        <w:t>Written Statement</w:t>
      </w:r>
    </w:p>
    <w:p w14:paraId="56B7B84B" w14:textId="388C498C" w:rsidR="0007253E" w:rsidRDefault="00510E0E" w:rsidP="00887E50">
      <w:pPr>
        <w:spacing w:after="200"/>
        <w:ind w:firstLine="720"/>
        <w:rPr>
          <w:rFonts w:ascii="Times New Roman" w:hAnsi="Times New Roman" w:cs="Times New Roman"/>
          <w:sz w:val="24"/>
          <w:szCs w:val="24"/>
        </w:rPr>
      </w:pPr>
      <w:r w:rsidRPr="00510E0E">
        <w:rPr>
          <w:rFonts w:ascii="Times New Roman" w:hAnsi="Times New Roman" w:cs="Times New Roman"/>
          <w:sz w:val="24"/>
          <w:szCs w:val="24"/>
        </w:rPr>
        <w:t xml:space="preserve">Chairman </w:t>
      </w:r>
      <w:r w:rsidR="00FD1537">
        <w:rPr>
          <w:rFonts w:ascii="Times New Roman" w:hAnsi="Times New Roman" w:cs="Times New Roman"/>
          <w:sz w:val="24"/>
          <w:szCs w:val="24"/>
        </w:rPr>
        <w:t>Cassidy</w:t>
      </w:r>
      <w:r w:rsidRPr="00510E0E">
        <w:rPr>
          <w:rFonts w:ascii="Times New Roman" w:hAnsi="Times New Roman" w:cs="Times New Roman"/>
          <w:sz w:val="24"/>
          <w:szCs w:val="24"/>
        </w:rPr>
        <w:t xml:space="preserve">, Ranking Member </w:t>
      </w:r>
      <w:r w:rsidR="00FD1537">
        <w:rPr>
          <w:rFonts w:ascii="Times New Roman" w:hAnsi="Times New Roman" w:cs="Times New Roman"/>
          <w:sz w:val="24"/>
          <w:szCs w:val="24"/>
        </w:rPr>
        <w:t>Sanders</w:t>
      </w:r>
      <w:r w:rsidRPr="00510E0E">
        <w:rPr>
          <w:rFonts w:ascii="Times New Roman" w:hAnsi="Times New Roman" w:cs="Times New Roman"/>
          <w:sz w:val="24"/>
          <w:szCs w:val="24"/>
        </w:rPr>
        <w:t xml:space="preserve">, and </w:t>
      </w:r>
      <w:r w:rsidR="001B039B">
        <w:rPr>
          <w:rFonts w:ascii="Times New Roman" w:hAnsi="Times New Roman" w:cs="Times New Roman"/>
          <w:sz w:val="24"/>
          <w:szCs w:val="24"/>
        </w:rPr>
        <w:t>Senators</w:t>
      </w:r>
      <w:r w:rsidRPr="00510E0E">
        <w:rPr>
          <w:rFonts w:ascii="Times New Roman" w:hAnsi="Times New Roman" w:cs="Times New Roman"/>
          <w:sz w:val="24"/>
          <w:szCs w:val="24"/>
        </w:rPr>
        <w:t xml:space="preserve">, thank you for </w:t>
      </w:r>
      <w:r w:rsidR="004E4861">
        <w:rPr>
          <w:rFonts w:ascii="Times New Roman" w:hAnsi="Times New Roman" w:cs="Times New Roman"/>
          <w:sz w:val="24"/>
          <w:szCs w:val="24"/>
        </w:rPr>
        <w:t xml:space="preserve">opportunity </w:t>
      </w:r>
      <w:r w:rsidRPr="00510E0E">
        <w:rPr>
          <w:rFonts w:ascii="Times New Roman" w:hAnsi="Times New Roman" w:cs="Times New Roman"/>
          <w:sz w:val="24"/>
          <w:szCs w:val="24"/>
        </w:rPr>
        <w:t xml:space="preserve">to testify </w:t>
      </w:r>
      <w:r w:rsidR="004E4861">
        <w:rPr>
          <w:rFonts w:ascii="Times New Roman" w:hAnsi="Times New Roman" w:cs="Times New Roman"/>
          <w:sz w:val="24"/>
          <w:szCs w:val="24"/>
        </w:rPr>
        <w:t>before this Committee</w:t>
      </w:r>
      <w:r w:rsidRPr="00510E0E">
        <w:rPr>
          <w:rFonts w:ascii="Times New Roman" w:hAnsi="Times New Roman" w:cs="Times New Roman"/>
          <w:sz w:val="24"/>
          <w:szCs w:val="24"/>
        </w:rPr>
        <w:t xml:space="preserve">. My name is James R. Copland. Since 2003, I have been </w:t>
      </w:r>
      <w:r w:rsidR="004E4861">
        <w:rPr>
          <w:rFonts w:ascii="Times New Roman" w:hAnsi="Times New Roman" w:cs="Times New Roman"/>
          <w:sz w:val="24"/>
          <w:szCs w:val="24"/>
        </w:rPr>
        <w:t xml:space="preserve">affiliated </w:t>
      </w:r>
      <w:r w:rsidRPr="00510E0E">
        <w:rPr>
          <w:rFonts w:ascii="Times New Roman" w:hAnsi="Times New Roman" w:cs="Times New Roman"/>
          <w:sz w:val="24"/>
          <w:szCs w:val="24"/>
        </w:rPr>
        <w:t>with the Manhattan Institute for Policy Research, a nonprofit public-policy think tank in New York City, where I have long been a senior fellow and directed the Institute’s legal policy research. Although my comments draw upon such research conducted for my employer, my statement before the Committee is solely my own.</w:t>
      </w:r>
    </w:p>
    <w:p w14:paraId="28863DB8" w14:textId="06E3845A" w:rsidR="003855F2" w:rsidRDefault="00D7553E" w:rsidP="00BB4603">
      <w:pPr>
        <w:rPr>
          <w:rFonts w:ascii="Times New Roman" w:hAnsi="Times New Roman" w:cs="Times New Roman"/>
          <w:sz w:val="24"/>
          <w:szCs w:val="24"/>
        </w:rPr>
      </w:pPr>
      <w:r>
        <w:rPr>
          <w:rFonts w:ascii="Times New Roman" w:hAnsi="Times New Roman" w:cs="Times New Roman"/>
          <w:sz w:val="24"/>
          <w:szCs w:val="24"/>
        </w:rPr>
        <w:tab/>
        <w:t>T</w:t>
      </w:r>
      <w:r w:rsidR="00184D4E">
        <w:rPr>
          <w:rFonts w:ascii="Times New Roman" w:hAnsi="Times New Roman" w:cs="Times New Roman"/>
          <w:sz w:val="24"/>
          <w:szCs w:val="24"/>
        </w:rPr>
        <w:t xml:space="preserve">he subject of today’s </w:t>
      </w:r>
      <w:proofErr w:type="gramStart"/>
      <w:r w:rsidR="00184D4E">
        <w:rPr>
          <w:rFonts w:ascii="Times New Roman" w:hAnsi="Times New Roman" w:cs="Times New Roman"/>
          <w:sz w:val="24"/>
          <w:szCs w:val="24"/>
        </w:rPr>
        <w:t>hearing—</w:t>
      </w:r>
      <w:proofErr w:type="gramEnd"/>
      <w:r w:rsidR="00184D4E">
        <w:rPr>
          <w:rFonts w:ascii="Times New Roman" w:hAnsi="Times New Roman" w:cs="Times New Roman"/>
          <w:sz w:val="24"/>
          <w:szCs w:val="24"/>
        </w:rPr>
        <w:t xml:space="preserve">the future of </w:t>
      </w:r>
      <w:proofErr w:type="gramStart"/>
      <w:r w:rsidR="00184D4E">
        <w:rPr>
          <w:rFonts w:ascii="Times New Roman" w:hAnsi="Times New Roman" w:cs="Times New Roman"/>
          <w:sz w:val="24"/>
          <w:szCs w:val="24"/>
        </w:rPr>
        <w:t>retirement—</w:t>
      </w:r>
      <w:proofErr w:type="gramEnd"/>
      <w:r w:rsidR="00184D4E">
        <w:rPr>
          <w:rFonts w:ascii="Times New Roman" w:hAnsi="Times New Roman" w:cs="Times New Roman"/>
          <w:sz w:val="24"/>
          <w:szCs w:val="24"/>
        </w:rPr>
        <w:t xml:space="preserve">could not be more pressing. </w:t>
      </w:r>
      <w:r w:rsidR="003B0B55">
        <w:rPr>
          <w:rFonts w:ascii="Times New Roman" w:hAnsi="Times New Roman" w:cs="Times New Roman"/>
          <w:sz w:val="24"/>
          <w:szCs w:val="24"/>
        </w:rPr>
        <w:t>T</w:t>
      </w:r>
      <w:r w:rsidRPr="00D7553E">
        <w:rPr>
          <w:rFonts w:ascii="Times New Roman" w:hAnsi="Times New Roman" w:cs="Times New Roman"/>
          <w:sz w:val="24"/>
          <w:szCs w:val="24"/>
        </w:rPr>
        <w:t xml:space="preserve">he United States faces a twin retirement challenge: </w:t>
      </w:r>
      <w:r w:rsidR="003B0B55">
        <w:rPr>
          <w:rFonts w:ascii="Times New Roman" w:hAnsi="Times New Roman" w:cs="Times New Roman"/>
          <w:sz w:val="24"/>
          <w:szCs w:val="24"/>
        </w:rPr>
        <w:t xml:space="preserve">our </w:t>
      </w:r>
      <w:r w:rsidRPr="00D7553E">
        <w:rPr>
          <w:rFonts w:ascii="Times New Roman" w:hAnsi="Times New Roman" w:cs="Times New Roman"/>
          <w:sz w:val="24"/>
          <w:szCs w:val="24"/>
        </w:rPr>
        <w:t>Social Security system is on a</w:t>
      </w:r>
      <w:r w:rsidR="003B0B55">
        <w:rPr>
          <w:rFonts w:ascii="Times New Roman" w:hAnsi="Times New Roman" w:cs="Times New Roman"/>
          <w:sz w:val="24"/>
          <w:szCs w:val="24"/>
        </w:rPr>
        <w:t>n inexorable</w:t>
      </w:r>
      <w:r w:rsidRPr="00D7553E">
        <w:rPr>
          <w:rFonts w:ascii="Times New Roman" w:hAnsi="Times New Roman" w:cs="Times New Roman"/>
          <w:sz w:val="24"/>
          <w:szCs w:val="24"/>
        </w:rPr>
        <w:t xml:space="preserve"> path to</w:t>
      </w:r>
      <w:r w:rsidR="003B0B55">
        <w:rPr>
          <w:rFonts w:ascii="Times New Roman" w:hAnsi="Times New Roman" w:cs="Times New Roman"/>
          <w:sz w:val="24"/>
          <w:szCs w:val="24"/>
        </w:rPr>
        <w:t>ward</w:t>
      </w:r>
      <w:r w:rsidRPr="00D7553E">
        <w:rPr>
          <w:rFonts w:ascii="Times New Roman" w:hAnsi="Times New Roman" w:cs="Times New Roman"/>
          <w:sz w:val="24"/>
          <w:szCs w:val="24"/>
        </w:rPr>
        <w:t xml:space="preserve"> paying reduced benefits within the next decade or so</w:t>
      </w:r>
      <w:r w:rsidR="00256E95">
        <w:rPr>
          <w:rFonts w:ascii="Times New Roman" w:hAnsi="Times New Roman" w:cs="Times New Roman"/>
          <w:sz w:val="24"/>
          <w:szCs w:val="24"/>
        </w:rPr>
        <w:t xml:space="preserve">, absent substantial tax increases that would have a host of </w:t>
      </w:r>
      <w:r w:rsidR="00980EE3">
        <w:rPr>
          <w:rFonts w:ascii="Times New Roman" w:hAnsi="Times New Roman" w:cs="Times New Roman"/>
          <w:sz w:val="24"/>
          <w:szCs w:val="24"/>
        </w:rPr>
        <w:t xml:space="preserve">deleterious macroeconomic consequences; and a large percentage of American </w:t>
      </w:r>
      <w:r w:rsidR="00980EE3" w:rsidRPr="00D7553E">
        <w:rPr>
          <w:rFonts w:ascii="Times New Roman" w:hAnsi="Times New Roman" w:cs="Times New Roman"/>
          <w:sz w:val="24"/>
          <w:szCs w:val="24"/>
        </w:rPr>
        <w:t>workers have insufficient private savings</w:t>
      </w:r>
      <w:r w:rsidR="00980EE3">
        <w:rPr>
          <w:rFonts w:ascii="Times New Roman" w:hAnsi="Times New Roman" w:cs="Times New Roman"/>
          <w:sz w:val="24"/>
          <w:szCs w:val="24"/>
        </w:rPr>
        <w:t xml:space="preserve"> to withstand those looming Social Security cuts</w:t>
      </w:r>
      <w:r w:rsidRPr="00D7553E">
        <w:rPr>
          <w:rFonts w:ascii="Times New Roman" w:hAnsi="Times New Roman" w:cs="Times New Roman"/>
          <w:sz w:val="24"/>
          <w:szCs w:val="24"/>
        </w:rPr>
        <w:t xml:space="preserve">. </w:t>
      </w:r>
    </w:p>
    <w:p w14:paraId="14434600" w14:textId="180B47C3" w:rsidR="0053102F" w:rsidRPr="0053102F" w:rsidRDefault="0053102F" w:rsidP="0053102F">
      <w:pPr>
        <w:rPr>
          <w:rFonts w:ascii="Times New Roman" w:hAnsi="Times New Roman" w:cs="Times New Roman"/>
          <w:sz w:val="24"/>
          <w:szCs w:val="24"/>
        </w:rPr>
      </w:pPr>
      <w:r>
        <w:rPr>
          <w:rFonts w:ascii="Times New Roman" w:hAnsi="Times New Roman" w:cs="Times New Roman"/>
          <w:sz w:val="24"/>
          <w:szCs w:val="24"/>
        </w:rPr>
        <w:tab/>
      </w:r>
      <w:r w:rsidRPr="0053102F">
        <w:rPr>
          <w:rFonts w:ascii="Times New Roman" w:hAnsi="Times New Roman" w:cs="Times New Roman"/>
          <w:sz w:val="24"/>
          <w:szCs w:val="24"/>
        </w:rPr>
        <w:t xml:space="preserve">As </w:t>
      </w:r>
      <w:r>
        <w:rPr>
          <w:rFonts w:ascii="Times New Roman" w:hAnsi="Times New Roman" w:cs="Times New Roman"/>
          <w:sz w:val="24"/>
          <w:szCs w:val="24"/>
        </w:rPr>
        <w:t xml:space="preserve">my Manhattan Institute colleague </w:t>
      </w:r>
      <w:r w:rsidRPr="0053102F">
        <w:rPr>
          <w:rFonts w:ascii="Times New Roman" w:hAnsi="Times New Roman" w:cs="Times New Roman"/>
          <w:sz w:val="24"/>
          <w:szCs w:val="24"/>
        </w:rPr>
        <w:t xml:space="preserve">Jessica Riedl has </w:t>
      </w:r>
      <w:r>
        <w:rPr>
          <w:rFonts w:ascii="Times New Roman" w:hAnsi="Times New Roman" w:cs="Times New Roman"/>
          <w:sz w:val="24"/>
          <w:szCs w:val="24"/>
        </w:rPr>
        <w:t xml:space="preserve">long </w:t>
      </w:r>
      <w:r w:rsidRPr="0053102F">
        <w:rPr>
          <w:rFonts w:ascii="Times New Roman" w:hAnsi="Times New Roman" w:cs="Times New Roman"/>
          <w:sz w:val="24"/>
          <w:szCs w:val="24"/>
        </w:rPr>
        <w:t>emphasized, Social Security’s financing structure is far more fragile than commonly understood.</w:t>
      </w:r>
      <w:r w:rsidR="00A03A9A">
        <w:rPr>
          <w:rStyle w:val="FootnoteReference"/>
          <w:rFonts w:ascii="Times New Roman" w:hAnsi="Times New Roman" w:cs="Times New Roman"/>
          <w:sz w:val="24"/>
          <w:szCs w:val="24"/>
        </w:rPr>
        <w:footnoteReference w:id="1"/>
      </w:r>
      <w:r w:rsidRPr="0053102F">
        <w:rPr>
          <w:rFonts w:ascii="Times New Roman" w:hAnsi="Times New Roman" w:cs="Times New Roman"/>
          <w:sz w:val="24"/>
          <w:szCs w:val="24"/>
        </w:rPr>
        <w:t xml:space="preserve"> Although the program is often described as “self-financed,” Social Security has been running persistent cash-flow deficits for more than a decade, paying out more in benefits each year than it collects in payroll taxes and other dedicated revenues. The program has been able to maintain full benefit payments only because it is legally entitled to draw down accumulated </w:t>
      </w:r>
      <w:r w:rsidR="00BE7BF2">
        <w:rPr>
          <w:rFonts w:ascii="Times New Roman" w:hAnsi="Times New Roman" w:cs="Times New Roman"/>
          <w:sz w:val="24"/>
          <w:szCs w:val="24"/>
        </w:rPr>
        <w:t>“</w:t>
      </w:r>
      <w:r w:rsidRPr="0053102F">
        <w:rPr>
          <w:rFonts w:ascii="Times New Roman" w:hAnsi="Times New Roman" w:cs="Times New Roman"/>
          <w:sz w:val="24"/>
          <w:szCs w:val="24"/>
        </w:rPr>
        <w:t>trust</w:t>
      </w:r>
      <w:r w:rsidR="00BE7BF2">
        <w:rPr>
          <w:rFonts w:ascii="Times New Roman" w:hAnsi="Times New Roman" w:cs="Times New Roman"/>
          <w:sz w:val="24"/>
          <w:szCs w:val="24"/>
        </w:rPr>
        <w:t xml:space="preserve"> </w:t>
      </w:r>
      <w:r w:rsidRPr="0053102F">
        <w:rPr>
          <w:rFonts w:ascii="Times New Roman" w:hAnsi="Times New Roman" w:cs="Times New Roman"/>
          <w:sz w:val="24"/>
          <w:szCs w:val="24"/>
        </w:rPr>
        <w:t>fund</w:t>
      </w:r>
      <w:r w:rsidR="00BE7BF2">
        <w:rPr>
          <w:rFonts w:ascii="Times New Roman" w:hAnsi="Times New Roman" w:cs="Times New Roman"/>
          <w:sz w:val="24"/>
          <w:szCs w:val="24"/>
        </w:rPr>
        <w:t>”</w:t>
      </w:r>
      <w:r w:rsidRPr="0053102F">
        <w:rPr>
          <w:rFonts w:ascii="Times New Roman" w:hAnsi="Times New Roman" w:cs="Times New Roman"/>
          <w:sz w:val="24"/>
          <w:szCs w:val="24"/>
        </w:rPr>
        <w:t xml:space="preserve"> balances, built during earlier decades when revenues exceeded costs. Those surpluses—roughly $3 trillion at their peak—are projected to be depleted within the next decade</w:t>
      </w:r>
      <w:r w:rsidR="002D77DC">
        <w:rPr>
          <w:rFonts w:ascii="Times New Roman" w:hAnsi="Times New Roman" w:cs="Times New Roman"/>
          <w:sz w:val="24"/>
          <w:szCs w:val="24"/>
        </w:rPr>
        <w:t>. As Riedl explains: “</w:t>
      </w:r>
      <w:r w:rsidR="002D77DC" w:rsidRPr="002D77DC">
        <w:rPr>
          <w:rFonts w:ascii="Times New Roman" w:hAnsi="Times New Roman" w:cs="Times New Roman"/>
          <w:sz w:val="24"/>
          <w:szCs w:val="24"/>
        </w:rPr>
        <w:t>Current law mandates that when the trust fund balance hits zero</w:t>
      </w:r>
      <w:r w:rsidR="002D77DC">
        <w:rPr>
          <w:rFonts w:ascii="Times New Roman" w:hAnsi="Times New Roman" w:cs="Times New Roman"/>
          <w:sz w:val="24"/>
          <w:szCs w:val="24"/>
        </w:rPr>
        <w:t xml:space="preserve"> . . . </w:t>
      </w:r>
      <w:r w:rsidR="002D77DC" w:rsidRPr="002D77DC">
        <w:rPr>
          <w:rFonts w:ascii="Times New Roman" w:hAnsi="Times New Roman" w:cs="Times New Roman"/>
          <w:sz w:val="24"/>
          <w:szCs w:val="24"/>
        </w:rPr>
        <w:t>the system will be legally forbidden from borrowing or receiving any more general revenues. Program spending must then fall to match the system’s revenues, and that will mean an automatic across-the-board 23 percent benefit cut.</w:t>
      </w:r>
      <w:r w:rsidR="00B61DF7">
        <w:rPr>
          <w:rFonts w:ascii="Times New Roman" w:hAnsi="Times New Roman" w:cs="Times New Roman"/>
          <w:sz w:val="24"/>
          <w:szCs w:val="24"/>
        </w:rPr>
        <w:t>”</w:t>
      </w:r>
      <w:r w:rsidR="00B61DF7">
        <w:rPr>
          <w:rStyle w:val="FootnoteReference"/>
          <w:rFonts w:ascii="Times New Roman" w:hAnsi="Times New Roman" w:cs="Times New Roman"/>
          <w:sz w:val="24"/>
          <w:szCs w:val="24"/>
        </w:rPr>
        <w:footnoteReference w:id="2"/>
      </w:r>
    </w:p>
    <w:p w14:paraId="363D4198" w14:textId="76D9B348" w:rsidR="00294F4D" w:rsidRDefault="0059224F" w:rsidP="003849AE">
      <w:pPr>
        <w:rPr>
          <w:rFonts w:ascii="Times New Roman" w:hAnsi="Times New Roman" w:cs="Times New Roman"/>
          <w:sz w:val="24"/>
          <w:szCs w:val="24"/>
        </w:rPr>
      </w:pPr>
      <w:r>
        <w:rPr>
          <w:rFonts w:ascii="Times New Roman" w:hAnsi="Times New Roman" w:cs="Times New Roman"/>
          <w:sz w:val="24"/>
          <w:szCs w:val="24"/>
        </w:rPr>
        <w:tab/>
      </w:r>
      <w:r w:rsidR="00633CE7">
        <w:rPr>
          <w:rFonts w:ascii="Times New Roman" w:hAnsi="Times New Roman" w:cs="Times New Roman"/>
          <w:sz w:val="24"/>
          <w:szCs w:val="24"/>
        </w:rPr>
        <w:t xml:space="preserve">On top </w:t>
      </w:r>
      <w:r>
        <w:rPr>
          <w:rFonts w:ascii="Times New Roman" w:hAnsi="Times New Roman" w:cs="Times New Roman"/>
          <w:sz w:val="24"/>
          <w:szCs w:val="24"/>
        </w:rPr>
        <w:t xml:space="preserve">of Social Security’s pending insolvency, our </w:t>
      </w:r>
      <w:r w:rsidRPr="0059224F">
        <w:rPr>
          <w:rFonts w:ascii="Times New Roman" w:hAnsi="Times New Roman" w:cs="Times New Roman"/>
          <w:sz w:val="24"/>
          <w:szCs w:val="24"/>
        </w:rPr>
        <w:t>private retirement saving is plainly inadequate</w:t>
      </w:r>
      <w:r>
        <w:rPr>
          <w:rFonts w:ascii="Times New Roman" w:hAnsi="Times New Roman" w:cs="Times New Roman"/>
          <w:sz w:val="24"/>
          <w:szCs w:val="24"/>
        </w:rPr>
        <w:t xml:space="preserve"> for a large fraction of U.S. households</w:t>
      </w:r>
      <w:r w:rsidRPr="0059224F">
        <w:rPr>
          <w:rFonts w:ascii="Times New Roman" w:hAnsi="Times New Roman" w:cs="Times New Roman"/>
          <w:sz w:val="24"/>
          <w:szCs w:val="24"/>
        </w:rPr>
        <w:t>.</w:t>
      </w:r>
      <w:r w:rsidR="006D6E4E">
        <w:rPr>
          <w:rFonts w:ascii="Times New Roman" w:hAnsi="Times New Roman" w:cs="Times New Roman"/>
          <w:sz w:val="24"/>
          <w:szCs w:val="24"/>
        </w:rPr>
        <w:t xml:space="preserve"> According to the Bureau of Labor Statistics, only about 15 percent of</w:t>
      </w:r>
      <w:r w:rsidR="00717EF3">
        <w:rPr>
          <w:rFonts w:ascii="Times New Roman" w:hAnsi="Times New Roman" w:cs="Times New Roman"/>
          <w:sz w:val="24"/>
          <w:szCs w:val="24"/>
        </w:rPr>
        <w:t xml:space="preserve"> </w:t>
      </w:r>
      <w:r w:rsidR="006D6E4E">
        <w:rPr>
          <w:rFonts w:ascii="Times New Roman" w:hAnsi="Times New Roman" w:cs="Times New Roman"/>
          <w:sz w:val="24"/>
          <w:szCs w:val="24"/>
        </w:rPr>
        <w:t>private industry workers have defined benefit pension plans</w:t>
      </w:r>
      <w:r w:rsidR="00480870">
        <w:rPr>
          <w:rFonts w:ascii="Times New Roman" w:hAnsi="Times New Roman" w:cs="Times New Roman"/>
          <w:sz w:val="24"/>
          <w:szCs w:val="24"/>
        </w:rPr>
        <w:t>;</w:t>
      </w:r>
      <w:r w:rsidR="00480870">
        <w:rPr>
          <w:rStyle w:val="FootnoteReference"/>
          <w:rFonts w:ascii="Times New Roman" w:hAnsi="Times New Roman" w:cs="Times New Roman"/>
          <w:sz w:val="24"/>
          <w:szCs w:val="24"/>
        </w:rPr>
        <w:footnoteReference w:id="3"/>
      </w:r>
      <w:r w:rsidR="00480870">
        <w:rPr>
          <w:rFonts w:ascii="Times New Roman" w:hAnsi="Times New Roman" w:cs="Times New Roman"/>
          <w:sz w:val="24"/>
          <w:szCs w:val="24"/>
        </w:rPr>
        <w:t xml:space="preserve"> </w:t>
      </w:r>
      <w:r w:rsidR="00F655AF">
        <w:rPr>
          <w:rFonts w:ascii="Times New Roman" w:hAnsi="Times New Roman" w:cs="Times New Roman"/>
          <w:sz w:val="24"/>
          <w:szCs w:val="24"/>
        </w:rPr>
        <w:t xml:space="preserve">and according to </w:t>
      </w:r>
      <w:r w:rsidR="00D56991">
        <w:rPr>
          <w:rFonts w:ascii="Times New Roman" w:hAnsi="Times New Roman" w:cs="Times New Roman"/>
          <w:sz w:val="24"/>
          <w:szCs w:val="24"/>
        </w:rPr>
        <w:t xml:space="preserve">the </w:t>
      </w:r>
      <w:r w:rsidR="00F655AF">
        <w:rPr>
          <w:rFonts w:ascii="Times New Roman" w:hAnsi="Times New Roman" w:cs="Times New Roman"/>
          <w:sz w:val="24"/>
          <w:szCs w:val="24"/>
        </w:rPr>
        <w:t xml:space="preserve">Congressional Research Service, only 54 percent of U.S. households have </w:t>
      </w:r>
      <w:r w:rsidR="007F12E7">
        <w:rPr>
          <w:rFonts w:ascii="Times New Roman" w:hAnsi="Times New Roman" w:cs="Times New Roman"/>
          <w:sz w:val="24"/>
          <w:szCs w:val="24"/>
        </w:rPr>
        <w:t>any defined contribution pension plan or other retirement plan assets.</w:t>
      </w:r>
      <w:r w:rsidR="00702814">
        <w:rPr>
          <w:rStyle w:val="FootnoteReference"/>
          <w:rFonts w:ascii="Times New Roman" w:hAnsi="Times New Roman" w:cs="Times New Roman"/>
          <w:sz w:val="24"/>
          <w:szCs w:val="24"/>
        </w:rPr>
        <w:footnoteReference w:id="4"/>
      </w:r>
      <w:r w:rsidR="005B08B8">
        <w:rPr>
          <w:rFonts w:ascii="Times New Roman" w:hAnsi="Times New Roman" w:cs="Times New Roman"/>
          <w:sz w:val="24"/>
          <w:szCs w:val="24"/>
        </w:rPr>
        <w:t xml:space="preserve"> </w:t>
      </w:r>
      <w:r w:rsidRPr="0059224F">
        <w:rPr>
          <w:rFonts w:ascii="Times New Roman" w:hAnsi="Times New Roman" w:cs="Times New Roman"/>
          <w:sz w:val="24"/>
          <w:szCs w:val="24"/>
        </w:rPr>
        <w:t xml:space="preserve">Among those that did, the </w:t>
      </w:r>
      <w:r w:rsidRPr="0059224F">
        <w:rPr>
          <w:rFonts w:ascii="Times New Roman" w:hAnsi="Times New Roman" w:cs="Times New Roman"/>
          <w:sz w:val="24"/>
          <w:szCs w:val="24"/>
        </w:rPr>
        <w:lastRenderedPageBreak/>
        <w:t xml:space="preserve">median </w:t>
      </w:r>
      <w:r w:rsidR="005B08B8">
        <w:rPr>
          <w:rFonts w:ascii="Times New Roman" w:hAnsi="Times New Roman" w:cs="Times New Roman"/>
          <w:sz w:val="24"/>
          <w:szCs w:val="24"/>
        </w:rPr>
        <w:t xml:space="preserve">retirement account </w:t>
      </w:r>
      <w:r w:rsidRPr="0059224F">
        <w:rPr>
          <w:rFonts w:ascii="Times New Roman" w:hAnsi="Times New Roman" w:cs="Times New Roman"/>
          <w:sz w:val="24"/>
          <w:szCs w:val="24"/>
        </w:rPr>
        <w:t>balance was only $87,000 and the average about $334,000</w:t>
      </w:r>
      <w:r w:rsidR="003849AE">
        <w:rPr>
          <w:rStyle w:val="FootnoteReference"/>
          <w:rFonts w:ascii="Times New Roman" w:hAnsi="Times New Roman" w:cs="Times New Roman"/>
          <w:sz w:val="24"/>
          <w:szCs w:val="24"/>
        </w:rPr>
        <w:footnoteReference w:id="5"/>
      </w:r>
      <w:r w:rsidR="00827469">
        <w:rPr>
          <w:rFonts w:ascii="Times New Roman" w:hAnsi="Times New Roman" w:cs="Times New Roman"/>
          <w:sz w:val="24"/>
          <w:szCs w:val="24"/>
        </w:rPr>
        <w:t>—</w:t>
      </w:r>
      <w:r w:rsidR="00A21E31">
        <w:rPr>
          <w:rFonts w:ascii="Times New Roman" w:hAnsi="Times New Roman" w:cs="Times New Roman"/>
          <w:sz w:val="24"/>
          <w:szCs w:val="24"/>
        </w:rPr>
        <w:t xml:space="preserve">hardly adequate to </w:t>
      </w:r>
      <w:r w:rsidR="00827469">
        <w:rPr>
          <w:rFonts w:ascii="Times New Roman" w:hAnsi="Times New Roman" w:cs="Times New Roman"/>
          <w:sz w:val="24"/>
          <w:szCs w:val="24"/>
        </w:rPr>
        <w:t>finance comfortable retirements given modern life expectancies.</w:t>
      </w:r>
    </w:p>
    <w:p w14:paraId="31CD9129" w14:textId="77777777" w:rsidR="00DB7AB4" w:rsidRDefault="00160B38" w:rsidP="00DB7AB4">
      <w:pPr>
        <w:rPr>
          <w:rFonts w:ascii="Times New Roman" w:eastAsia="Times New Roman" w:hAnsi="Times New Roman" w:cs="Times New Roman"/>
          <w:sz w:val="24"/>
          <w:szCs w:val="24"/>
        </w:rPr>
      </w:pPr>
      <w:r>
        <w:rPr>
          <w:rFonts w:ascii="Times New Roman" w:hAnsi="Times New Roman" w:cs="Times New Roman"/>
          <w:sz w:val="24"/>
          <w:szCs w:val="24"/>
        </w:rPr>
        <w:tab/>
        <w:t>Although the enormity of this problem</w:t>
      </w:r>
      <w:r w:rsidR="00A777C9">
        <w:rPr>
          <w:rFonts w:ascii="Times New Roman" w:hAnsi="Times New Roman" w:cs="Times New Roman"/>
          <w:sz w:val="24"/>
          <w:szCs w:val="24"/>
        </w:rPr>
        <w:t xml:space="preserve"> is beyond the scope of this written testimony, I would like to draw the Committee’s attention to my research on one</w:t>
      </w:r>
      <w:r w:rsidR="00633CE7">
        <w:rPr>
          <w:rFonts w:ascii="Times New Roman" w:hAnsi="Times New Roman" w:cs="Times New Roman"/>
          <w:sz w:val="24"/>
          <w:szCs w:val="24"/>
        </w:rPr>
        <w:t xml:space="preserve"> issue compounding the </w:t>
      </w:r>
      <w:r w:rsidR="00D0727B">
        <w:rPr>
          <w:rFonts w:ascii="Times New Roman" w:hAnsi="Times New Roman" w:cs="Times New Roman"/>
          <w:sz w:val="24"/>
          <w:szCs w:val="24"/>
        </w:rPr>
        <w:t>problem of pension inadequacy</w:t>
      </w:r>
      <w:r w:rsidR="00F33912">
        <w:rPr>
          <w:rFonts w:ascii="Times New Roman" w:hAnsi="Times New Roman" w:cs="Times New Roman"/>
          <w:sz w:val="24"/>
          <w:szCs w:val="24"/>
        </w:rPr>
        <w:t>.</w:t>
      </w:r>
      <w:r w:rsidR="000C3780">
        <w:rPr>
          <w:rStyle w:val="FootnoteReference"/>
          <w:rFonts w:ascii="Times New Roman" w:hAnsi="Times New Roman" w:cs="Times New Roman"/>
          <w:sz w:val="24"/>
          <w:szCs w:val="24"/>
        </w:rPr>
        <w:footnoteReference w:id="6"/>
      </w:r>
      <w:r w:rsidR="00F33912">
        <w:rPr>
          <w:rFonts w:ascii="Times New Roman" w:hAnsi="Times New Roman" w:cs="Times New Roman"/>
          <w:sz w:val="24"/>
          <w:szCs w:val="24"/>
        </w:rPr>
        <w:t xml:space="preserve"> </w:t>
      </w:r>
      <w:r w:rsidR="00381BA0">
        <w:rPr>
          <w:rFonts w:ascii="Times New Roman" w:hAnsi="Times New Roman" w:cs="Times New Roman"/>
          <w:sz w:val="24"/>
          <w:szCs w:val="24"/>
        </w:rPr>
        <w:t xml:space="preserve">For pension plans governed under the </w:t>
      </w:r>
      <w:r w:rsidR="00381BA0" w:rsidRPr="00381BA0">
        <w:rPr>
          <w:rFonts w:ascii="Times New Roman" w:eastAsia="Times New Roman" w:hAnsi="Times New Roman" w:cs="Times New Roman"/>
          <w:sz w:val="24"/>
          <w:szCs w:val="24"/>
        </w:rPr>
        <w:t>Employee Retirement Income Security Act (“ERISA”)</w:t>
      </w:r>
      <w:r w:rsidR="00381BA0">
        <w:rPr>
          <w:rFonts w:ascii="Times New Roman" w:eastAsia="Times New Roman" w:hAnsi="Times New Roman" w:cs="Times New Roman"/>
          <w:sz w:val="24"/>
          <w:szCs w:val="24"/>
        </w:rPr>
        <w:t>,</w:t>
      </w:r>
      <w:r w:rsidR="00381BA0">
        <w:rPr>
          <w:rStyle w:val="FootnoteReference"/>
          <w:rFonts w:ascii="Times New Roman" w:eastAsia="Times New Roman" w:hAnsi="Times New Roman" w:cs="Times New Roman"/>
          <w:sz w:val="24"/>
          <w:szCs w:val="24"/>
        </w:rPr>
        <w:footnoteReference w:id="7"/>
      </w:r>
      <w:r w:rsidR="00B14195">
        <w:rPr>
          <w:rFonts w:ascii="Times New Roman" w:eastAsia="Times New Roman" w:hAnsi="Times New Roman" w:cs="Times New Roman"/>
          <w:sz w:val="24"/>
          <w:szCs w:val="24"/>
        </w:rPr>
        <w:t xml:space="preserve"> a series of vacillating guidance and rulemaking from the U.S. Department of</w:t>
      </w:r>
      <w:r w:rsidR="00B14195">
        <w:rPr>
          <w:rFonts w:ascii="Times New Roman" w:eastAsia="Times New Roman" w:hAnsi="Times New Roman" w:cs="Times New Roman"/>
          <w:sz w:val="24"/>
          <w:szCs w:val="24"/>
        </w:rPr>
        <w:tab/>
        <w:t>Labor over the last 30 years</w:t>
      </w:r>
      <w:r w:rsidR="002B21CC">
        <w:rPr>
          <w:rStyle w:val="FootnoteReference"/>
          <w:rFonts w:ascii="Times New Roman" w:eastAsia="Times New Roman" w:hAnsi="Times New Roman" w:cs="Times New Roman"/>
          <w:sz w:val="24"/>
          <w:szCs w:val="24"/>
        </w:rPr>
        <w:footnoteReference w:id="8"/>
      </w:r>
      <w:r w:rsidR="00B14195">
        <w:rPr>
          <w:rFonts w:ascii="Times New Roman" w:eastAsia="Times New Roman" w:hAnsi="Times New Roman" w:cs="Times New Roman"/>
          <w:sz w:val="24"/>
          <w:szCs w:val="24"/>
        </w:rPr>
        <w:t xml:space="preserve"> has </w:t>
      </w:r>
      <w:r w:rsidR="00032D12">
        <w:rPr>
          <w:rFonts w:ascii="Times New Roman" w:eastAsia="Times New Roman" w:hAnsi="Times New Roman" w:cs="Times New Roman"/>
          <w:sz w:val="24"/>
          <w:szCs w:val="24"/>
        </w:rPr>
        <w:t>generated significant uncertainties around pension plans’ actual fiduciary duties to their beneficiaries</w:t>
      </w:r>
      <w:r w:rsidR="002B21CC">
        <w:rPr>
          <w:rFonts w:ascii="Times New Roman" w:eastAsia="Times New Roman" w:hAnsi="Times New Roman" w:cs="Times New Roman"/>
          <w:sz w:val="24"/>
          <w:szCs w:val="24"/>
        </w:rPr>
        <w:t xml:space="preserve">—compromising plans’ solvency. </w:t>
      </w:r>
    </w:p>
    <w:p w14:paraId="4E1AB548" w14:textId="77777777" w:rsidR="00DB7AB4" w:rsidRDefault="00DB7AB4" w:rsidP="00DB7AB4">
      <w:pPr>
        <w:rPr>
          <w:rFonts w:ascii="Times New Roman" w:eastAsia="Times New Roman" w:hAnsi="Times New Roman" w:cs="Times New Roman"/>
          <w:sz w:val="24"/>
          <w:szCs w:val="24"/>
        </w:rPr>
      </w:pPr>
    </w:p>
    <w:p w14:paraId="0BA29028" w14:textId="1D799C25" w:rsidR="00DB7AB4" w:rsidRPr="00DB7AB4" w:rsidRDefault="00DB7AB4" w:rsidP="00DB7AB4">
      <w:pPr>
        <w:rPr>
          <w:rFonts w:ascii="Times New Roman" w:hAnsi="Times New Roman" w:cs="Times New Roman"/>
          <w:b/>
          <w:bCs/>
          <w:i/>
          <w:iCs/>
          <w:sz w:val="28"/>
          <w:szCs w:val="28"/>
        </w:rPr>
      </w:pPr>
      <w:r>
        <w:rPr>
          <w:rFonts w:ascii="Times New Roman" w:eastAsia="Times New Roman" w:hAnsi="Times New Roman" w:cs="Times New Roman"/>
          <w:b/>
          <w:bCs/>
          <w:i/>
          <w:iCs/>
          <w:sz w:val="24"/>
          <w:szCs w:val="24"/>
        </w:rPr>
        <w:t xml:space="preserve">ERISA’s Mandate: </w:t>
      </w:r>
      <w:r w:rsidR="00EE3FA7">
        <w:rPr>
          <w:rFonts w:ascii="Times New Roman" w:eastAsia="Times New Roman" w:hAnsi="Times New Roman" w:cs="Times New Roman"/>
          <w:b/>
          <w:bCs/>
          <w:i/>
          <w:iCs/>
          <w:sz w:val="24"/>
          <w:szCs w:val="24"/>
        </w:rPr>
        <w:t>Maximizing Financial Returns</w:t>
      </w:r>
    </w:p>
    <w:p w14:paraId="3F03C009" w14:textId="7894B203" w:rsidR="00876146" w:rsidRDefault="00876146" w:rsidP="00DB7AB4">
      <w:pPr>
        <w:ind w:firstLine="720"/>
        <w:rPr>
          <w:rFonts w:ascii="Times New Roman" w:eastAsia="Times New Roman" w:hAnsi="Times New Roman" w:cs="Times New Roman"/>
          <w:sz w:val="24"/>
          <w:szCs w:val="24"/>
        </w:rPr>
      </w:pPr>
      <w:r w:rsidRPr="00876146">
        <w:rPr>
          <w:rFonts w:ascii="Times New Roman" w:eastAsia="Times New Roman" w:hAnsi="Times New Roman" w:cs="Times New Roman"/>
          <w:sz w:val="24"/>
          <w:szCs w:val="24"/>
        </w:rPr>
        <w:t>A plan manager governed by the Employee Retirement Income Security Act (“ERISA”) has a strict fiduciary duty to manage the plan “</w:t>
      </w:r>
      <w:r w:rsidRPr="00876146">
        <w:rPr>
          <w:rFonts w:ascii="Times New Roman" w:eastAsia="Times New Roman" w:hAnsi="Times New Roman" w:cs="Times New Roman"/>
          <w:i/>
          <w:iCs/>
          <w:sz w:val="24"/>
          <w:szCs w:val="24"/>
        </w:rPr>
        <w:t>solely</w:t>
      </w:r>
      <w:r w:rsidRPr="00876146">
        <w:rPr>
          <w:rFonts w:ascii="Times New Roman" w:eastAsia="Times New Roman" w:hAnsi="Times New Roman" w:cs="Times New Roman"/>
          <w:sz w:val="24"/>
          <w:szCs w:val="24"/>
        </w:rPr>
        <w:t xml:space="preserve"> in the interest of the participants and beneficiaries.”</w:t>
      </w:r>
      <w:r w:rsidRPr="00876146">
        <w:rPr>
          <w:rStyle w:val="FootnoteReference"/>
          <w:rFonts w:ascii="Times New Roman" w:eastAsia="Times New Roman" w:hAnsi="Times New Roman" w:cs="Times New Roman"/>
          <w:sz w:val="24"/>
          <w:szCs w:val="24"/>
        </w:rPr>
        <w:footnoteReference w:id="9"/>
      </w:r>
      <w:r w:rsidRPr="00876146">
        <w:rPr>
          <w:rFonts w:ascii="Times New Roman" w:eastAsia="Times New Roman" w:hAnsi="Times New Roman" w:cs="Times New Roman"/>
          <w:sz w:val="24"/>
          <w:szCs w:val="24"/>
        </w:rPr>
        <w:t xml:space="preserve"> ERISA plans must be managed “for the </w:t>
      </w:r>
      <w:r w:rsidRPr="00876146">
        <w:rPr>
          <w:rFonts w:ascii="Times New Roman" w:eastAsia="Times New Roman" w:hAnsi="Times New Roman" w:cs="Times New Roman"/>
          <w:i/>
          <w:iCs/>
          <w:sz w:val="24"/>
          <w:szCs w:val="24"/>
        </w:rPr>
        <w:t>exclusive</w:t>
      </w:r>
      <w:r w:rsidRPr="00876146">
        <w:rPr>
          <w:rFonts w:ascii="Times New Roman" w:eastAsia="Times New Roman" w:hAnsi="Times New Roman" w:cs="Times New Roman"/>
          <w:sz w:val="24"/>
          <w:szCs w:val="24"/>
        </w:rPr>
        <w:t xml:space="preserve"> purpose of providing [financial]</w:t>
      </w:r>
      <w:r w:rsidRPr="00876146">
        <w:rPr>
          <w:rFonts w:ascii="Times New Roman" w:hAnsi="Times New Roman" w:cs="Times New Roman"/>
          <w:sz w:val="24"/>
          <w:szCs w:val="24"/>
          <w:vertAlign w:val="superscript"/>
        </w:rPr>
        <w:footnoteReference w:id="10"/>
      </w:r>
      <w:r w:rsidRPr="00876146">
        <w:rPr>
          <w:rFonts w:ascii="Times New Roman" w:eastAsia="Times New Roman" w:hAnsi="Times New Roman" w:cs="Times New Roman"/>
          <w:sz w:val="24"/>
          <w:szCs w:val="24"/>
        </w:rPr>
        <w:t xml:space="preserve"> benefits to participants and their beneficiaries,” balancing those benefits </w:t>
      </w:r>
      <w:r w:rsidRPr="00876146">
        <w:rPr>
          <w:rFonts w:ascii="Times New Roman" w:eastAsia="Times New Roman" w:hAnsi="Times New Roman" w:cs="Times New Roman"/>
          <w:i/>
          <w:iCs/>
          <w:sz w:val="24"/>
          <w:szCs w:val="24"/>
        </w:rPr>
        <w:t xml:space="preserve">only </w:t>
      </w:r>
      <w:r w:rsidRPr="00876146">
        <w:rPr>
          <w:rFonts w:ascii="Times New Roman" w:eastAsia="Times New Roman" w:hAnsi="Times New Roman" w:cs="Times New Roman"/>
          <w:sz w:val="24"/>
          <w:szCs w:val="24"/>
        </w:rPr>
        <w:t>against cost constraints.</w:t>
      </w:r>
      <w:r w:rsidRPr="00876146">
        <w:rPr>
          <w:rStyle w:val="FootnoteReference"/>
          <w:rFonts w:ascii="Times New Roman" w:eastAsia="Times New Roman" w:hAnsi="Times New Roman" w:cs="Times New Roman"/>
          <w:sz w:val="24"/>
          <w:szCs w:val="24"/>
        </w:rPr>
        <w:footnoteReference w:id="11"/>
      </w:r>
      <w:r w:rsidRPr="00876146">
        <w:rPr>
          <w:rFonts w:ascii="Times New Roman" w:eastAsia="Times New Roman" w:hAnsi="Times New Roman" w:cs="Times New Roman"/>
          <w:sz w:val="24"/>
          <w:szCs w:val="24"/>
        </w:rPr>
        <w:t xml:space="preserve"> Implicitly and clearly, other interests beyond maximizing financial benefits and minimizing costs—including </w:t>
      </w:r>
      <w:r w:rsidR="00E6326E">
        <w:rPr>
          <w:rFonts w:ascii="Times New Roman" w:eastAsia="Times New Roman" w:hAnsi="Times New Roman" w:cs="Times New Roman"/>
          <w:sz w:val="24"/>
          <w:szCs w:val="24"/>
        </w:rPr>
        <w:t xml:space="preserve">environmental, social, and governance (ESG) </w:t>
      </w:r>
      <w:r w:rsidRPr="00876146">
        <w:rPr>
          <w:rFonts w:ascii="Times New Roman" w:eastAsia="Times New Roman" w:hAnsi="Times New Roman" w:cs="Times New Roman"/>
          <w:sz w:val="24"/>
          <w:szCs w:val="24"/>
        </w:rPr>
        <w:t>goals collateral to actual risk-and return analysis—</w:t>
      </w:r>
      <w:r w:rsidR="00441C72">
        <w:rPr>
          <w:rFonts w:ascii="Times New Roman" w:eastAsia="Times New Roman" w:hAnsi="Times New Roman" w:cs="Times New Roman"/>
          <w:sz w:val="24"/>
          <w:szCs w:val="24"/>
        </w:rPr>
        <w:t xml:space="preserve">should </w:t>
      </w:r>
      <w:r w:rsidRPr="00876146">
        <w:rPr>
          <w:rFonts w:ascii="Times New Roman" w:eastAsia="Times New Roman" w:hAnsi="Times New Roman" w:cs="Times New Roman"/>
          <w:sz w:val="24"/>
          <w:szCs w:val="24"/>
        </w:rPr>
        <w:t>not</w:t>
      </w:r>
      <w:r w:rsidR="00441C72">
        <w:rPr>
          <w:rFonts w:ascii="Times New Roman" w:eastAsia="Times New Roman" w:hAnsi="Times New Roman" w:cs="Times New Roman"/>
          <w:sz w:val="24"/>
          <w:szCs w:val="24"/>
        </w:rPr>
        <w:t xml:space="preserve">, and under the law may not, </w:t>
      </w:r>
      <w:r w:rsidRPr="00876146">
        <w:rPr>
          <w:rFonts w:ascii="Times New Roman" w:eastAsia="Times New Roman" w:hAnsi="Times New Roman" w:cs="Times New Roman"/>
          <w:sz w:val="24"/>
          <w:szCs w:val="24"/>
        </w:rPr>
        <w:t>be considered by ERISA plan fiduciaries.</w:t>
      </w:r>
      <w:r w:rsidRPr="00876146">
        <w:rPr>
          <w:rStyle w:val="FootnoteReference"/>
          <w:rFonts w:ascii="Times New Roman" w:eastAsia="Times New Roman" w:hAnsi="Times New Roman" w:cs="Times New Roman"/>
          <w:sz w:val="24"/>
          <w:szCs w:val="24"/>
        </w:rPr>
        <w:footnoteReference w:id="12"/>
      </w:r>
    </w:p>
    <w:p w14:paraId="74D8EEAB" w14:textId="77777777" w:rsidR="00DF6B5E" w:rsidRDefault="00DF6B5E" w:rsidP="00DF6B5E">
      <w:pPr>
        <w:rPr>
          <w:rFonts w:ascii="Times New Roman" w:eastAsia="Times New Roman" w:hAnsi="Times New Roman" w:cs="Times New Roman"/>
          <w:sz w:val="24"/>
          <w:szCs w:val="24"/>
        </w:rPr>
      </w:pPr>
    </w:p>
    <w:p w14:paraId="2AA28EA5" w14:textId="39471361" w:rsidR="00DF6B5E" w:rsidRDefault="00DF6B5E">
      <w:pPr>
        <w:spacing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BF35FE" w14:textId="30172CED" w:rsidR="00DF6B5E" w:rsidRPr="00DF6B5E" w:rsidRDefault="00DF6B5E" w:rsidP="00DF6B5E">
      <w:pPr>
        <w:rPr>
          <w:rFonts w:ascii="Times New Roman" w:hAnsi="Times New Roman" w:cs="Times New Roman"/>
          <w:b/>
          <w:bCs/>
          <w:i/>
          <w:iCs/>
          <w:sz w:val="24"/>
          <w:szCs w:val="24"/>
        </w:rPr>
      </w:pPr>
      <w:r w:rsidRPr="00DF6B5E">
        <w:rPr>
          <w:rFonts w:ascii="Times New Roman" w:hAnsi="Times New Roman" w:cs="Times New Roman"/>
          <w:b/>
          <w:bCs/>
          <w:i/>
          <w:iCs/>
          <w:sz w:val="24"/>
          <w:szCs w:val="24"/>
        </w:rPr>
        <w:lastRenderedPageBreak/>
        <w:t>Vacillating</w:t>
      </w:r>
      <w:r>
        <w:rPr>
          <w:rFonts w:ascii="Times New Roman" w:hAnsi="Times New Roman" w:cs="Times New Roman"/>
          <w:b/>
          <w:bCs/>
          <w:i/>
          <w:iCs/>
          <w:sz w:val="24"/>
          <w:szCs w:val="24"/>
        </w:rPr>
        <w:t xml:space="preserve"> Determinations of </w:t>
      </w:r>
      <w:r w:rsidR="00C7639D">
        <w:rPr>
          <w:rFonts w:ascii="Times New Roman" w:hAnsi="Times New Roman" w:cs="Times New Roman"/>
          <w:b/>
          <w:bCs/>
          <w:i/>
          <w:iCs/>
          <w:sz w:val="24"/>
          <w:szCs w:val="24"/>
        </w:rPr>
        <w:t>ERISA Duties</w:t>
      </w:r>
    </w:p>
    <w:p w14:paraId="332EDBD9" w14:textId="30E6AB8B" w:rsidR="004515F0" w:rsidRPr="00A06579" w:rsidRDefault="00A06579" w:rsidP="0018029E">
      <w:pPr>
        <w:tabs>
          <w:tab w:val="left" w:pos="0"/>
        </w:tabs>
        <w:spacing w:line="276" w:lineRule="auto"/>
        <w:ind w:firstLine="720"/>
        <w:rPr>
          <w:rFonts w:ascii="Times New Roman" w:eastAsia="Times New Roman" w:hAnsi="Times New Roman" w:cs="Times New Roman"/>
          <w:sz w:val="24"/>
          <w:szCs w:val="24"/>
        </w:rPr>
      </w:pPr>
      <w:r w:rsidRPr="00A06579">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waning days of the first Trump administration</w:t>
      </w:r>
      <w:r w:rsidR="004515F0" w:rsidRPr="00A06579">
        <w:rPr>
          <w:rFonts w:ascii="Times New Roman" w:eastAsia="Times New Roman" w:hAnsi="Times New Roman" w:cs="Times New Roman"/>
          <w:sz w:val="24"/>
          <w:szCs w:val="24"/>
        </w:rPr>
        <w:t xml:space="preserve">, the Department </w:t>
      </w:r>
      <w:r>
        <w:rPr>
          <w:rFonts w:ascii="Times New Roman" w:eastAsia="Times New Roman" w:hAnsi="Times New Roman" w:cs="Times New Roman"/>
          <w:sz w:val="24"/>
          <w:szCs w:val="24"/>
        </w:rPr>
        <w:t xml:space="preserve">of Labor </w:t>
      </w:r>
      <w:r w:rsidR="00383A00">
        <w:rPr>
          <w:rFonts w:ascii="Times New Roman" w:eastAsia="Times New Roman" w:hAnsi="Times New Roman" w:cs="Times New Roman"/>
          <w:sz w:val="24"/>
          <w:szCs w:val="24"/>
        </w:rPr>
        <w:t xml:space="preserve">promulgated rules </w:t>
      </w:r>
      <w:r w:rsidR="004515F0" w:rsidRPr="00A06579">
        <w:rPr>
          <w:rFonts w:ascii="Times New Roman" w:eastAsia="Times New Roman" w:hAnsi="Times New Roman" w:cs="Times New Roman"/>
          <w:sz w:val="24"/>
          <w:szCs w:val="24"/>
        </w:rPr>
        <w:t>that largely comported with the language of ERISA and the governing judicial opinions. The Department’s rule specified, appropriately:</w:t>
      </w:r>
    </w:p>
    <w:p w14:paraId="27B4EC8D" w14:textId="77777777" w:rsidR="004515F0" w:rsidRDefault="004515F0" w:rsidP="004515F0">
      <w:pPr>
        <w:tabs>
          <w:tab w:val="left" w:pos="0"/>
          <w:tab w:val="left" w:pos="620"/>
          <w:tab w:val="left" w:pos="720"/>
        </w:tabs>
        <w:spacing w:line="276" w:lineRule="auto"/>
        <w:ind w:right="360" w:firstLine="360"/>
        <w:jc w:val="both"/>
        <w:rPr>
          <w:rFonts w:ascii="Times New Roman" w:eastAsia="Times New Roman" w:hAnsi="Times New Roman" w:cs="Times New Roman"/>
        </w:rPr>
      </w:pPr>
    </w:p>
    <w:p w14:paraId="62E39318" w14:textId="77777777" w:rsidR="004515F0" w:rsidRPr="00A06579" w:rsidRDefault="004515F0" w:rsidP="00730DAD">
      <w:pPr>
        <w:pStyle w:val="ListParagraph"/>
        <w:numPr>
          <w:ilvl w:val="0"/>
          <w:numId w:val="19"/>
        </w:numPr>
        <w:tabs>
          <w:tab w:val="left" w:pos="0"/>
          <w:tab w:val="left" w:pos="620"/>
          <w:tab w:val="left" w:pos="720"/>
        </w:tabs>
        <w:spacing w:after="0" w:line="276" w:lineRule="auto"/>
        <w:ind w:right="360"/>
        <w:contextualSpacing w:val="0"/>
        <w:rPr>
          <w:rFonts w:ascii="Times New Roman" w:eastAsia="Times New Roman" w:hAnsi="Times New Roman" w:cs="Times New Roman"/>
        </w:rPr>
      </w:pPr>
      <w:r w:rsidRPr="00A06579">
        <w:rPr>
          <w:rFonts w:ascii="Times New Roman" w:eastAsia="Times New Roman" w:hAnsi="Times New Roman" w:cs="Times New Roman"/>
        </w:rPr>
        <w:t>“ERISA requires plan fiduciaries to select investments and investment courses of action based solely on financial considerations relevant to the risk-adjusted economic value of a particular investment or investment course of action”;</w:t>
      </w:r>
      <w:r w:rsidRPr="00A06579">
        <w:rPr>
          <w:rStyle w:val="FootnoteReference"/>
          <w:rFonts w:ascii="Times New Roman" w:eastAsia="Times New Roman" w:hAnsi="Times New Roman" w:cs="Times New Roman"/>
        </w:rPr>
        <w:footnoteReference w:id="13"/>
      </w:r>
    </w:p>
    <w:p w14:paraId="4F8EF08F" w14:textId="77777777" w:rsidR="004515F0" w:rsidRPr="00A06579" w:rsidRDefault="004515F0" w:rsidP="00730DAD">
      <w:pPr>
        <w:pStyle w:val="ListParagraph"/>
        <w:numPr>
          <w:ilvl w:val="0"/>
          <w:numId w:val="19"/>
        </w:numPr>
        <w:tabs>
          <w:tab w:val="left" w:pos="0"/>
          <w:tab w:val="left" w:pos="620"/>
          <w:tab w:val="left" w:pos="720"/>
        </w:tabs>
        <w:spacing w:after="0" w:line="276" w:lineRule="auto"/>
        <w:ind w:right="360"/>
        <w:contextualSpacing w:val="0"/>
        <w:rPr>
          <w:rFonts w:ascii="Times New Roman" w:eastAsia="Times New Roman" w:hAnsi="Times New Roman" w:cs="Times New Roman"/>
        </w:rPr>
      </w:pPr>
      <w:r w:rsidRPr="00A06579">
        <w:rPr>
          <w:rFonts w:ascii="Times New Roman" w:eastAsia="Times New Roman" w:hAnsi="Times New Roman" w:cs="Times New Roman"/>
        </w:rPr>
        <w:t>“[P]lan assets may not be enlisted in pursuit of other social or environmental objectives”;</w:t>
      </w:r>
      <w:r w:rsidRPr="00A06579">
        <w:rPr>
          <w:rStyle w:val="FootnoteReference"/>
          <w:rFonts w:ascii="Times New Roman" w:eastAsia="Times New Roman" w:hAnsi="Times New Roman" w:cs="Times New Roman"/>
        </w:rPr>
        <w:footnoteReference w:id="14"/>
      </w:r>
      <w:r w:rsidRPr="00A06579">
        <w:rPr>
          <w:rFonts w:ascii="Times New Roman" w:eastAsia="Times New Roman" w:hAnsi="Times New Roman" w:cs="Times New Roman"/>
        </w:rPr>
        <w:t xml:space="preserve"> and</w:t>
      </w:r>
    </w:p>
    <w:p w14:paraId="5F73B2BE" w14:textId="1955F600" w:rsidR="003849AE" w:rsidRDefault="004515F0" w:rsidP="00730DAD">
      <w:pPr>
        <w:pStyle w:val="ListParagraph"/>
        <w:numPr>
          <w:ilvl w:val="0"/>
          <w:numId w:val="19"/>
        </w:numPr>
        <w:tabs>
          <w:tab w:val="left" w:pos="0"/>
          <w:tab w:val="left" w:pos="620"/>
          <w:tab w:val="left" w:pos="720"/>
        </w:tabs>
        <w:spacing w:after="0" w:line="276" w:lineRule="auto"/>
        <w:ind w:right="360"/>
        <w:contextualSpacing w:val="0"/>
        <w:rPr>
          <w:rFonts w:ascii="Times New Roman" w:eastAsia="Times New Roman" w:hAnsi="Times New Roman" w:cs="Times New Roman"/>
        </w:rPr>
      </w:pPr>
      <w:r w:rsidRPr="00A06579">
        <w:rPr>
          <w:rFonts w:ascii="Times New Roman" w:eastAsia="Times New Roman" w:hAnsi="Times New Roman" w:cs="Times New Roman"/>
        </w:rPr>
        <w:t>“ERISA plan fiduciaries may not invest in ESG vehicles when they understand an underlying investment strategy of the vehicle is to subordinate return or increase risk for the purpose of non-pecuniary objectives.”</w:t>
      </w:r>
      <w:r w:rsidRPr="00A06579">
        <w:rPr>
          <w:rStyle w:val="FootnoteReference"/>
          <w:rFonts w:ascii="Times New Roman" w:eastAsia="Times New Roman" w:hAnsi="Times New Roman" w:cs="Times New Roman"/>
        </w:rPr>
        <w:footnoteReference w:id="15"/>
      </w:r>
    </w:p>
    <w:p w14:paraId="35593347" w14:textId="77777777" w:rsidR="005D52D5" w:rsidRPr="005D52D5" w:rsidRDefault="005D52D5" w:rsidP="00730DAD">
      <w:pPr>
        <w:pStyle w:val="ListParagraph"/>
        <w:tabs>
          <w:tab w:val="left" w:pos="0"/>
          <w:tab w:val="left" w:pos="620"/>
          <w:tab w:val="left" w:pos="720"/>
        </w:tabs>
        <w:spacing w:after="0" w:line="276" w:lineRule="auto"/>
        <w:ind w:left="1080" w:right="360"/>
        <w:contextualSpacing w:val="0"/>
        <w:rPr>
          <w:rFonts w:ascii="Times New Roman" w:eastAsia="Times New Roman" w:hAnsi="Times New Roman" w:cs="Times New Roman"/>
        </w:rPr>
      </w:pPr>
    </w:p>
    <w:p w14:paraId="75913ABC" w14:textId="66199B2E" w:rsidR="005D52D5" w:rsidRDefault="005D52D5" w:rsidP="00730DAD">
      <w:pPr>
        <w:rPr>
          <w:rFonts w:ascii="Times New Roman" w:hAnsi="Times New Roman" w:cs="Times New Roman"/>
          <w:sz w:val="24"/>
          <w:szCs w:val="24"/>
        </w:rPr>
      </w:pPr>
      <w:r>
        <w:rPr>
          <w:rFonts w:ascii="Times New Roman" w:hAnsi="Times New Roman" w:cs="Times New Roman"/>
          <w:sz w:val="24"/>
          <w:szCs w:val="24"/>
        </w:rPr>
        <w:t xml:space="preserve">Unfortunately, soon after the change in administration following the 2020 presidential election, </w:t>
      </w:r>
      <w:r w:rsidR="00C422BD">
        <w:rPr>
          <w:rFonts w:ascii="Times New Roman" w:hAnsi="Times New Roman" w:cs="Times New Roman"/>
          <w:sz w:val="24"/>
          <w:szCs w:val="24"/>
        </w:rPr>
        <w:t>the Department of Labor reversed course.</w:t>
      </w:r>
      <w:r w:rsidR="00C422BD">
        <w:rPr>
          <w:rStyle w:val="FootnoteReference"/>
          <w:rFonts w:ascii="Times New Roman" w:hAnsi="Times New Roman" w:cs="Times New Roman"/>
          <w:sz w:val="24"/>
          <w:szCs w:val="24"/>
        </w:rPr>
        <w:footnoteReference w:id="16"/>
      </w:r>
      <w:r w:rsidR="00E306DE">
        <w:rPr>
          <w:rFonts w:ascii="Times New Roman" w:hAnsi="Times New Roman" w:cs="Times New Roman"/>
          <w:sz w:val="24"/>
          <w:szCs w:val="24"/>
        </w:rPr>
        <w:t xml:space="preserve"> Under the Biden administration, the Department </w:t>
      </w:r>
      <w:r w:rsidR="004769CE">
        <w:rPr>
          <w:rFonts w:ascii="Times New Roman" w:hAnsi="Times New Roman" w:cs="Times New Roman"/>
          <w:sz w:val="24"/>
          <w:szCs w:val="24"/>
        </w:rPr>
        <w:t xml:space="preserve">jettisoned the just-promulgated standard and instead </w:t>
      </w:r>
      <w:r w:rsidR="004769CE" w:rsidRPr="004769CE">
        <w:rPr>
          <w:rFonts w:ascii="Times New Roman" w:hAnsi="Times New Roman" w:cs="Times New Roman"/>
          <w:sz w:val="24"/>
          <w:szCs w:val="24"/>
        </w:rPr>
        <w:t>countenanc</w:t>
      </w:r>
      <w:r w:rsidR="004769CE">
        <w:rPr>
          <w:rFonts w:ascii="Times New Roman" w:hAnsi="Times New Roman" w:cs="Times New Roman"/>
          <w:sz w:val="24"/>
          <w:szCs w:val="24"/>
        </w:rPr>
        <w:t>ed</w:t>
      </w:r>
      <w:r w:rsidR="004769CE" w:rsidRPr="004769CE">
        <w:rPr>
          <w:rFonts w:ascii="Times New Roman" w:hAnsi="Times New Roman" w:cs="Times New Roman"/>
          <w:sz w:val="24"/>
          <w:szCs w:val="24"/>
        </w:rPr>
        <w:t>—</w:t>
      </w:r>
      <w:r w:rsidR="004769CE">
        <w:rPr>
          <w:rFonts w:ascii="Times New Roman" w:hAnsi="Times New Roman" w:cs="Times New Roman"/>
          <w:sz w:val="24"/>
          <w:szCs w:val="24"/>
        </w:rPr>
        <w:t xml:space="preserve">and </w:t>
      </w:r>
      <w:r w:rsidR="004769CE" w:rsidRPr="004769CE">
        <w:rPr>
          <w:rFonts w:ascii="Times New Roman" w:hAnsi="Times New Roman" w:cs="Times New Roman"/>
          <w:sz w:val="24"/>
          <w:szCs w:val="24"/>
        </w:rPr>
        <w:t>perhaps even encourag</w:t>
      </w:r>
      <w:r w:rsidR="004769CE">
        <w:rPr>
          <w:rFonts w:ascii="Times New Roman" w:hAnsi="Times New Roman" w:cs="Times New Roman"/>
          <w:sz w:val="24"/>
          <w:szCs w:val="24"/>
        </w:rPr>
        <w:t>ed</w:t>
      </w:r>
      <w:r w:rsidR="004769CE" w:rsidRPr="004769CE">
        <w:rPr>
          <w:rFonts w:ascii="Times New Roman" w:hAnsi="Times New Roman" w:cs="Times New Roman"/>
          <w:sz w:val="24"/>
          <w:szCs w:val="24"/>
        </w:rPr>
        <w:t>—pension investments oriented toward ESG concerns that go beyond the exclusive purpose permitted in the ERISA statutory mandate.</w:t>
      </w:r>
      <w:r w:rsidR="00A108D8">
        <w:rPr>
          <w:rStyle w:val="FootnoteReference"/>
          <w:rFonts w:ascii="Times New Roman" w:hAnsi="Times New Roman" w:cs="Times New Roman"/>
          <w:sz w:val="24"/>
          <w:szCs w:val="24"/>
        </w:rPr>
        <w:footnoteReference w:id="17"/>
      </w:r>
    </w:p>
    <w:p w14:paraId="34D1EF25" w14:textId="77777777" w:rsidR="00C42524" w:rsidRDefault="00C42524" w:rsidP="00730DAD">
      <w:pPr>
        <w:rPr>
          <w:rFonts w:ascii="Times New Roman" w:hAnsi="Times New Roman" w:cs="Times New Roman"/>
          <w:sz w:val="24"/>
          <w:szCs w:val="24"/>
        </w:rPr>
      </w:pPr>
    </w:p>
    <w:p w14:paraId="6F4EBEE4" w14:textId="528A46A6" w:rsidR="00C42524" w:rsidRPr="00C42524" w:rsidRDefault="00FD68E2" w:rsidP="00730DAD">
      <w:pPr>
        <w:rPr>
          <w:rFonts w:ascii="Times New Roman" w:hAnsi="Times New Roman" w:cs="Times New Roman"/>
          <w:b/>
          <w:bCs/>
          <w:i/>
          <w:iCs/>
          <w:sz w:val="24"/>
          <w:szCs w:val="24"/>
        </w:rPr>
      </w:pPr>
      <w:r>
        <w:rPr>
          <w:rFonts w:ascii="Times New Roman" w:hAnsi="Times New Roman" w:cs="Times New Roman"/>
          <w:b/>
          <w:bCs/>
          <w:i/>
          <w:iCs/>
          <w:sz w:val="24"/>
          <w:szCs w:val="24"/>
        </w:rPr>
        <w:t xml:space="preserve">Risks </w:t>
      </w:r>
      <w:r w:rsidR="00C42524">
        <w:rPr>
          <w:rFonts w:ascii="Times New Roman" w:hAnsi="Times New Roman" w:cs="Times New Roman"/>
          <w:b/>
          <w:bCs/>
          <w:i/>
          <w:iCs/>
          <w:sz w:val="24"/>
          <w:szCs w:val="24"/>
        </w:rPr>
        <w:t>of</w:t>
      </w:r>
      <w:r>
        <w:rPr>
          <w:rFonts w:ascii="Times New Roman" w:hAnsi="Times New Roman" w:cs="Times New Roman"/>
          <w:b/>
          <w:bCs/>
          <w:i/>
          <w:iCs/>
          <w:sz w:val="24"/>
          <w:szCs w:val="24"/>
        </w:rPr>
        <w:t xml:space="preserve"> Infusing</w:t>
      </w:r>
      <w:r w:rsidR="00C42524">
        <w:rPr>
          <w:rFonts w:ascii="Times New Roman" w:hAnsi="Times New Roman" w:cs="Times New Roman"/>
          <w:b/>
          <w:bCs/>
          <w:i/>
          <w:iCs/>
          <w:sz w:val="24"/>
          <w:szCs w:val="24"/>
        </w:rPr>
        <w:t xml:space="preserve"> ERISA Investments </w:t>
      </w:r>
      <w:r>
        <w:rPr>
          <w:rFonts w:ascii="Times New Roman" w:hAnsi="Times New Roman" w:cs="Times New Roman"/>
          <w:b/>
          <w:bCs/>
          <w:i/>
          <w:iCs/>
          <w:sz w:val="24"/>
          <w:szCs w:val="24"/>
        </w:rPr>
        <w:t xml:space="preserve">with </w:t>
      </w:r>
      <w:r w:rsidR="00C42524">
        <w:rPr>
          <w:rFonts w:ascii="Times New Roman" w:hAnsi="Times New Roman" w:cs="Times New Roman"/>
          <w:b/>
          <w:bCs/>
          <w:i/>
          <w:iCs/>
          <w:sz w:val="24"/>
          <w:szCs w:val="24"/>
        </w:rPr>
        <w:t xml:space="preserve">ESG </w:t>
      </w:r>
      <w:r w:rsidR="00F308BA">
        <w:rPr>
          <w:rFonts w:ascii="Times New Roman" w:hAnsi="Times New Roman" w:cs="Times New Roman"/>
          <w:b/>
          <w:bCs/>
          <w:i/>
          <w:iCs/>
          <w:sz w:val="24"/>
          <w:szCs w:val="24"/>
        </w:rPr>
        <w:t>Principles</w:t>
      </w:r>
    </w:p>
    <w:p w14:paraId="6213F6F3" w14:textId="1A177CC7" w:rsidR="009D786F" w:rsidRPr="009D786F" w:rsidRDefault="00057D45" w:rsidP="00DF6B5E">
      <w:pPr>
        <w:tabs>
          <w:tab w:val="left" w:pos="0"/>
        </w:tabs>
        <w:spacing w:line="276" w:lineRule="auto"/>
        <w:ind w:right="360" w:firstLine="720"/>
        <w:rPr>
          <w:rFonts w:ascii="Times New Roman" w:eastAsia="Times New Roman" w:hAnsi="Times New Roman" w:cs="Times New Roman"/>
          <w:sz w:val="24"/>
          <w:szCs w:val="24"/>
        </w:rPr>
      </w:pPr>
      <w:r w:rsidRPr="00057D45">
        <w:rPr>
          <w:rFonts w:ascii="Times New Roman" w:eastAsia="Times New Roman" w:hAnsi="Times New Roman" w:cs="Times New Roman"/>
          <w:sz w:val="24"/>
          <w:szCs w:val="24"/>
        </w:rPr>
        <w:t>With limited exceptions—which do not constitute the strategies employed in the overwhelming majority of current ESG investing—</w:t>
      </w:r>
      <w:r w:rsidR="00442043">
        <w:rPr>
          <w:rFonts w:ascii="Times New Roman" w:eastAsia="Times New Roman" w:hAnsi="Times New Roman" w:cs="Times New Roman"/>
          <w:sz w:val="24"/>
          <w:szCs w:val="24"/>
        </w:rPr>
        <w:t xml:space="preserve">subordinating ordinary financial standards to ESG </w:t>
      </w:r>
      <w:r w:rsidR="00A3759C">
        <w:rPr>
          <w:rFonts w:ascii="Times New Roman" w:eastAsia="Times New Roman" w:hAnsi="Times New Roman" w:cs="Times New Roman"/>
          <w:sz w:val="24"/>
          <w:szCs w:val="24"/>
        </w:rPr>
        <w:t xml:space="preserve">concerns </w:t>
      </w:r>
      <w:r w:rsidRPr="00057D45">
        <w:rPr>
          <w:rFonts w:ascii="Times New Roman" w:eastAsia="Times New Roman" w:hAnsi="Times New Roman" w:cs="Times New Roman"/>
          <w:sz w:val="24"/>
          <w:szCs w:val="24"/>
        </w:rPr>
        <w:t>will lead to reduced returns, either through a lack of diversification or increased costs.</w:t>
      </w:r>
      <w:r w:rsidRPr="00057D45">
        <w:rPr>
          <w:rStyle w:val="FootnoteReference"/>
          <w:rFonts w:ascii="Times New Roman" w:eastAsia="Times New Roman" w:hAnsi="Times New Roman" w:cs="Times New Roman"/>
          <w:sz w:val="24"/>
          <w:szCs w:val="24"/>
        </w:rPr>
        <w:footnoteReference w:id="18"/>
      </w:r>
      <w:r w:rsidRPr="00057D45">
        <w:rPr>
          <w:rFonts w:ascii="Times New Roman" w:eastAsia="Times New Roman" w:hAnsi="Times New Roman" w:cs="Times New Roman"/>
          <w:sz w:val="24"/>
          <w:szCs w:val="24"/>
        </w:rPr>
        <w:t xml:space="preserve"> </w:t>
      </w:r>
      <w:r w:rsidR="009D786F" w:rsidRPr="009D786F">
        <w:rPr>
          <w:rFonts w:ascii="Times New Roman" w:eastAsia="Times New Roman" w:hAnsi="Times New Roman" w:cs="Times New Roman"/>
          <w:sz w:val="24"/>
          <w:szCs w:val="24"/>
        </w:rPr>
        <w:t xml:space="preserve">To be clear: factors that are commonly characterized as </w:t>
      </w:r>
      <w:r w:rsidR="009D786F" w:rsidRPr="009D786F">
        <w:rPr>
          <w:rFonts w:ascii="Times New Roman" w:eastAsia="Times New Roman" w:hAnsi="Times New Roman" w:cs="Times New Roman"/>
          <w:sz w:val="24"/>
          <w:szCs w:val="24"/>
        </w:rPr>
        <w:lastRenderedPageBreak/>
        <w:t xml:space="preserve">ESG may be material for active investors to consider when valuing securities. E.g., unless one believes in the strongest form of </w:t>
      </w:r>
      <w:proofErr w:type="gramStart"/>
      <w:r w:rsidR="009D786F" w:rsidRPr="009D786F">
        <w:rPr>
          <w:rFonts w:ascii="Times New Roman" w:eastAsia="Times New Roman" w:hAnsi="Times New Roman" w:cs="Times New Roman"/>
          <w:sz w:val="24"/>
          <w:szCs w:val="24"/>
        </w:rPr>
        <w:t>the efficient</w:t>
      </w:r>
      <w:proofErr w:type="gramEnd"/>
      <w:r w:rsidR="009D786F" w:rsidRPr="009D786F">
        <w:rPr>
          <w:rFonts w:ascii="Times New Roman" w:eastAsia="Times New Roman" w:hAnsi="Times New Roman" w:cs="Times New Roman"/>
          <w:sz w:val="24"/>
          <w:szCs w:val="24"/>
        </w:rPr>
        <w:t xml:space="preserve"> market hypothesis,</w:t>
      </w:r>
      <w:r w:rsidR="009D786F" w:rsidRPr="009D786F">
        <w:rPr>
          <w:rStyle w:val="FootnoteReference"/>
          <w:rFonts w:ascii="Times New Roman" w:eastAsia="Times New Roman" w:hAnsi="Times New Roman" w:cs="Times New Roman"/>
          <w:sz w:val="24"/>
          <w:szCs w:val="24"/>
        </w:rPr>
        <w:footnoteReference w:id="19"/>
      </w:r>
      <w:r w:rsidR="009D786F" w:rsidRPr="009D786F">
        <w:rPr>
          <w:rFonts w:ascii="Times New Roman" w:eastAsia="Times New Roman" w:hAnsi="Times New Roman" w:cs="Times New Roman"/>
          <w:sz w:val="24"/>
          <w:szCs w:val="24"/>
        </w:rPr>
        <w:t xml:space="preserve"> there are situations in which the market may misprice a company’s risk premium associated with global warming (including particularly regulatory risks) or the effectiveness of a company’s board composition or governance structures. And an investor with a strong view of market mispricing may even choose to place bets on such factors—effectively doing in-depth company-by-company analyses and taking long or short positions on </w:t>
      </w:r>
      <w:proofErr w:type="gramStart"/>
      <w:r w:rsidR="009D786F" w:rsidRPr="009D786F">
        <w:rPr>
          <w:rFonts w:ascii="Times New Roman" w:eastAsia="Times New Roman" w:hAnsi="Times New Roman" w:cs="Times New Roman"/>
          <w:sz w:val="24"/>
          <w:szCs w:val="24"/>
        </w:rPr>
        <w:t>a security</w:t>
      </w:r>
      <w:proofErr w:type="gramEnd"/>
      <w:r w:rsidR="009D786F" w:rsidRPr="009D786F">
        <w:rPr>
          <w:rFonts w:ascii="Times New Roman" w:eastAsia="Times New Roman" w:hAnsi="Times New Roman" w:cs="Times New Roman"/>
          <w:sz w:val="24"/>
          <w:szCs w:val="24"/>
        </w:rPr>
        <w:t xml:space="preserve">, much like a merger-arbitrage fund places bets on the risk profile of an announced merger </w:t>
      </w:r>
      <w:proofErr w:type="gramStart"/>
      <w:r w:rsidR="009D786F" w:rsidRPr="009D786F">
        <w:rPr>
          <w:rFonts w:ascii="Times New Roman" w:eastAsia="Times New Roman" w:hAnsi="Times New Roman" w:cs="Times New Roman"/>
          <w:sz w:val="24"/>
          <w:szCs w:val="24"/>
        </w:rPr>
        <w:t>actually taking</w:t>
      </w:r>
      <w:proofErr w:type="gramEnd"/>
      <w:r w:rsidR="009D786F" w:rsidRPr="009D786F">
        <w:rPr>
          <w:rFonts w:ascii="Times New Roman" w:eastAsia="Times New Roman" w:hAnsi="Times New Roman" w:cs="Times New Roman"/>
          <w:sz w:val="24"/>
          <w:szCs w:val="24"/>
        </w:rPr>
        <w:t xml:space="preserve"> place.</w:t>
      </w:r>
      <w:r w:rsidR="009D786F" w:rsidRPr="009D786F">
        <w:rPr>
          <w:rStyle w:val="FootnoteReference"/>
          <w:rFonts w:ascii="Times New Roman" w:eastAsia="Times New Roman" w:hAnsi="Times New Roman" w:cs="Times New Roman"/>
          <w:sz w:val="24"/>
          <w:szCs w:val="24"/>
        </w:rPr>
        <w:footnoteReference w:id="20"/>
      </w:r>
    </w:p>
    <w:p w14:paraId="32F5C64F" w14:textId="1DE3F15C" w:rsidR="009D786F" w:rsidRPr="009D786F" w:rsidRDefault="009D786F" w:rsidP="002B32A1">
      <w:pPr>
        <w:tabs>
          <w:tab w:val="left" w:pos="0"/>
        </w:tabs>
        <w:spacing w:line="276" w:lineRule="auto"/>
        <w:ind w:right="360" w:firstLine="720"/>
        <w:rPr>
          <w:rFonts w:ascii="Times New Roman" w:eastAsia="Times New Roman" w:hAnsi="Times New Roman" w:cs="Times New Roman"/>
          <w:sz w:val="24"/>
          <w:szCs w:val="24"/>
        </w:rPr>
      </w:pPr>
      <w:r w:rsidRPr="009D786F">
        <w:rPr>
          <w:rFonts w:ascii="Times New Roman" w:eastAsia="Times New Roman" w:hAnsi="Times New Roman" w:cs="Times New Roman"/>
          <w:sz w:val="24"/>
          <w:szCs w:val="24"/>
        </w:rPr>
        <w:t xml:space="preserve">In a 2020 law review article in the </w:t>
      </w:r>
      <w:r w:rsidRPr="009D786F">
        <w:rPr>
          <w:rFonts w:ascii="Times New Roman" w:eastAsia="Times New Roman" w:hAnsi="Times New Roman" w:cs="Times New Roman"/>
          <w:i/>
          <w:iCs/>
          <w:sz w:val="24"/>
          <w:szCs w:val="24"/>
        </w:rPr>
        <w:t xml:space="preserve">Stanford Law Review </w:t>
      </w:r>
      <w:r w:rsidRPr="009D786F">
        <w:rPr>
          <w:rFonts w:ascii="Times New Roman" w:eastAsia="Times New Roman" w:hAnsi="Times New Roman" w:cs="Times New Roman"/>
          <w:sz w:val="24"/>
          <w:szCs w:val="24"/>
        </w:rPr>
        <w:t xml:space="preserve">considering ESG investing and fiduciary duties, law professors Max Schanzenbach and Robert H. </w:t>
      </w:r>
      <w:proofErr w:type="spellStart"/>
      <w:r w:rsidRPr="009D786F">
        <w:rPr>
          <w:rFonts w:ascii="Times New Roman" w:eastAsia="Times New Roman" w:hAnsi="Times New Roman" w:cs="Times New Roman"/>
          <w:sz w:val="24"/>
          <w:szCs w:val="24"/>
        </w:rPr>
        <w:t>Sitkoff</w:t>
      </w:r>
      <w:proofErr w:type="spellEnd"/>
      <w:r w:rsidRPr="009D786F">
        <w:rPr>
          <w:rFonts w:ascii="Times New Roman" w:eastAsia="Times New Roman" w:hAnsi="Times New Roman" w:cs="Times New Roman"/>
          <w:sz w:val="24"/>
          <w:szCs w:val="24"/>
        </w:rPr>
        <w:t xml:space="preserve"> characterize this form of ESG investing as “risk-return” ESG investing.</w:t>
      </w:r>
      <w:r w:rsidRPr="009D786F">
        <w:rPr>
          <w:rStyle w:val="FootnoteReference"/>
          <w:rFonts w:ascii="Times New Roman" w:eastAsia="Times New Roman" w:hAnsi="Times New Roman" w:cs="Times New Roman"/>
          <w:sz w:val="24"/>
          <w:szCs w:val="24"/>
        </w:rPr>
        <w:footnoteReference w:id="21"/>
      </w:r>
      <w:r w:rsidRPr="009D786F">
        <w:rPr>
          <w:rFonts w:ascii="Times New Roman" w:eastAsia="Times New Roman" w:hAnsi="Times New Roman" w:cs="Times New Roman"/>
          <w:sz w:val="24"/>
          <w:szCs w:val="24"/>
        </w:rPr>
        <w:t xml:space="preserve"> In contrast, Schanzenbach and </w:t>
      </w:r>
      <w:proofErr w:type="spellStart"/>
      <w:r w:rsidRPr="009D786F">
        <w:rPr>
          <w:rFonts w:ascii="Times New Roman" w:eastAsia="Times New Roman" w:hAnsi="Times New Roman" w:cs="Times New Roman"/>
          <w:sz w:val="24"/>
          <w:szCs w:val="24"/>
        </w:rPr>
        <w:t>Sitkoff</w:t>
      </w:r>
      <w:proofErr w:type="spellEnd"/>
      <w:r w:rsidRPr="009D786F">
        <w:rPr>
          <w:rFonts w:ascii="Times New Roman" w:eastAsia="Times New Roman" w:hAnsi="Times New Roman" w:cs="Times New Roman"/>
          <w:sz w:val="24"/>
          <w:szCs w:val="24"/>
        </w:rPr>
        <w:t xml:space="preserve"> characterize investment strategies that sublimate financial return to nonpecuniary objectives—in purpose or effect—“collateral benefits” ESG investing.</w:t>
      </w:r>
      <w:r w:rsidRPr="009D786F">
        <w:rPr>
          <w:rStyle w:val="FootnoteReference"/>
          <w:rFonts w:ascii="Times New Roman" w:eastAsia="Times New Roman" w:hAnsi="Times New Roman" w:cs="Times New Roman"/>
          <w:sz w:val="24"/>
          <w:szCs w:val="24"/>
        </w:rPr>
        <w:footnoteReference w:id="22"/>
      </w:r>
      <w:r w:rsidRPr="009D786F">
        <w:rPr>
          <w:rFonts w:ascii="Times New Roman" w:eastAsia="Times New Roman" w:hAnsi="Times New Roman" w:cs="Times New Roman"/>
          <w:sz w:val="24"/>
          <w:szCs w:val="24"/>
        </w:rPr>
        <w:t xml:space="preserve"> The latter form of investing violates fiduciary duties of </w:t>
      </w:r>
      <w:r w:rsidRPr="009D786F">
        <w:rPr>
          <w:rFonts w:ascii="Times New Roman" w:eastAsia="Times New Roman" w:hAnsi="Times New Roman" w:cs="Times New Roman"/>
          <w:i/>
          <w:iCs/>
          <w:sz w:val="24"/>
          <w:szCs w:val="24"/>
        </w:rPr>
        <w:t>prudence</w:t>
      </w:r>
      <w:r w:rsidRPr="009D786F">
        <w:rPr>
          <w:rFonts w:ascii="Times New Roman" w:eastAsia="Times New Roman" w:hAnsi="Times New Roman" w:cs="Times New Roman"/>
          <w:sz w:val="24"/>
          <w:szCs w:val="24"/>
        </w:rPr>
        <w:t xml:space="preserve"> and </w:t>
      </w:r>
      <w:r w:rsidRPr="009D786F">
        <w:rPr>
          <w:rFonts w:ascii="Times New Roman" w:eastAsia="Times New Roman" w:hAnsi="Times New Roman" w:cs="Times New Roman"/>
          <w:i/>
          <w:iCs/>
          <w:sz w:val="24"/>
          <w:szCs w:val="24"/>
        </w:rPr>
        <w:t>loyalty</w:t>
      </w:r>
      <w:r w:rsidRPr="009D786F">
        <w:rPr>
          <w:rFonts w:ascii="Times New Roman" w:eastAsia="Times New Roman" w:hAnsi="Times New Roman" w:cs="Times New Roman"/>
          <w:sz w:val="24"/>
          <w:szCs w:val="24"/>
        </w:rPr>
        <w:t>, duties which can only be satisfied if “(1) the trustee reasonably concludes that the ESG investment program will benefit the beneficiary directly by improving risk-adjusted return; and (2) the trustee’s exclusive motive for adopting the ESG investment program is to obtain this direct benefit.”</w:t>
      </w:r>
      <w:r w:rsidRPr="009D786F">
        <w:rPr>
          <w:rStyle w:val="FootnoteReference"/>
          <w:rFonts w:ascii="Times New Roman" w:eastAsia="Times New Roman" w:hAnsi="Times New Roman" w:cs="Times New Roman"/>
          <w:sz w:val="24"/>
          <w:szCs w:val="24"/>
        </w:rPr>
        <w:footnoteReference w:id="23"/>
      </w:r>
    </w:p>
    <w:p w14:paraId="0706DEE6" w14:textId="703E30AA" w:rsidR="00D5448F" w:rsidRDefault="009D786F" w:rsidP="002B32A1">
      <w:pPr>
        <w:tabs>
          <w:tab w:val="left" w:pos="0"/>
        </w:tabs>
        <w:spacing w:line="276" w:lineRule="auto"/>
        <w:ind w:right="360" w:firstLine="720"/>
        <w:rPr>
          <w:rFonts w:ascii="Times New Roman" w:eastAsia="Times New Roman" w:hAnsi="Times New Roman" w:cs="Times New Roman"/>
          <w:sz w:val="24"/>
          <w:szCs w:val="24"/>
        </w:rPr>
      </w:pPr>
      <w:r w:rsidRPr="009D786F">
        <w:rPr>
          <w:rFonts w:ascii="Times New Roman" w:eastAsia="Times New Roman" w:hAnsi="Times New Roman" w:cs="Times New Roman"/>
          <w:sz w:val="24"/>
          <w:szCs w:val="24"/>
        </w:rPr>
        <w:t xml:space="preserve">The actual strategies employed by most ESG-focused funds trading in public securities fail to meet these criteria. As Schanzenbach and </w:t>
      </w:r>
      <w:proofErr w:type="spellStart"/>
      <w:r w:rsidRPr="009D786F">
        <w:rPr>
          <w:rFonts w:ascii="Times New Roman" w:eastAsia="Times New Roman" w:hAnsi="Times New Roman" w:cs="Times New Roman"/>
          <w:sz w:val="24"/>
          <w:szCs w:val="24"/>
        </w:rPr>
        <w:t>Sitkoff</w:t>
      </w:r>
      <w:proofErr w:type="spellEnd"/>
      <w:r w:rsidRPr="009D786F">
        <w:rPr>
          <w:rFonts w:ascii="Times New Roman" w:eastAsia="Times New Roman" w:hAnsi="Times New Roman" w:cs="Times New Roman"/>
          <w:sz w:val="24"/>
          <w:szCs w:val="24"/>
        </w:rPr>
        <w:t xml:space="preserve"> explain, there are two broad categories of strategies for trading in securities by using ESG factors on public exchanges: </w:t>
      </w:r>
      <w:r w:rsidRPr="009D786F">
        <w:rPr>
          <w:rFonts w:ascii="Times New Roman" w:eastAsia="Times New Roman" w:hAnsi="Times New Roman" w:cs="Times New Roman"/>
          <w:i/>
          <w:iCs/>
          <w:sz w:val="24"/>
          <w:szCs w:val="24"/>
        </w:rPr>
        <w:t>screens</w:t>
      </w:r>
      <w:r w:rsidRPr="009D786F">
        <w:rPr>
          <w:rFonts w:ascii="Times New Roman" w:eastAsia="Times New Roman" w:hAnsi="Times New Roman" w:cs="Times New Roman"/>
          <w:sz w:val="24"/>
          <w:szCs w:val="24"/>
        </w:rPr>
        <w:t xml:space="preserve"> and </w:t>
      </w:r>
      <w:r w:rsidRPr="009D786F">
        <w:rPr>
          <w:rFonts w:ascii="Times New Roman" w:eastAsia="Times New Roman" w:hAnsi="Times New Roman" w:cs="Times New Roman"/>
          <w:i/>
          <w:iCs/>
          <w:sz w:val="24"/>
          <w:szCs w:val="24"/>
        </w:rPr>
        <w:t>stock picking</w:t>
      </w:r>
      <w:r w:rsidRPr="009D786F">
        <w:rPr>
          <w:rFonts w:ascii="Times New Roman" w:eastAsia="Times New Roman" w:hAnsi="Times New Roman" w:cs="Times New Roman"/>
          <w:sz w:val="24"/>
          <w:szCs w:val="24"/>
        </w:rPr>
        <w:t xml:space="preserve">. Screening strategies employ simple, consistent criteria to eliminate “bad” companies or select “good” companies from the market universe—e.g., a </w:t>
      </w:r>
      <w:r w:rsidRPr="009D786F">
        <w:rPr>
          <w:rFonts w:ascii="Times New Roman" w:eastAsia="Times New Roman" w:hAnsi="Times New Roman" w:cs="Times New Roman"/>
          <w:i/>
          <w:iCs/>
          <w:sz w:val="24"/>
          <w:szCs w:val="24"/>
        </w:rPr>
        <w:t>market index</w:t>
      </w:r>
      <w:r w:rsidRPr="009D786F">
        <w:rPr>
          <w:rFonts w:ascii="Times New Roman" w:eastAsia="Times New Roman" w:hAnsi="Times New Roman" w:cs="Times New Roman"/>
          <w:sz w:val="24"/>
          <w:szCs w:val="24"/>
        </w:rPr>
        <w:t xml:space="preserve"> limited by some social criteria, such as the MSCI KLD 400 Social Index.</w:t>
      </w:r>
      <w:r w:rsidRPr="009D786F">
        <w:rPr>
          <w:rStyle w:val="FootnoteReference"/>
          <w:rFonts w:ascii="Times New Roman" w:eastAsia="Times New Roman" w:hAnsi="Times New Roman" w:cs="Times New Roman"/>
          <w:sz w:val="24"/>
          <w:szCs w:val="24"/>
        </w:rPr>
        <w:footnoteReference w:id="24"/>
      </w:r>
      <w:r w:rsidRPr="009D786F">
        <w:rPr>
          <w:rFonts w:ascii="Times New Roman" w:eastAsia="Times New Roman" w:hAnsi="Times New Roman" w:cs="Times New Roman"/>
          <w:sz w:val="24"/>
          <w:szCs w:val="24"/>
        </w:rPr>
        <w:t xml:space="preserve"> However, “empirical studies find that, on a risk-adjusted basis, employing ESG screens leads to performance about the same as or worse than their benchmark indices.”</w:t>
      </w:r>
      <w:r w:rsidRPr="009D786F">
        <w:rPr>
          <w:rStyle w:val="FootnoteReference"/>
          <w:rFonts w:ascii="Times New Roman" w:eastAsia="Times New Roman" w:hAnsi="Times New Roman" w:cs="Times New Roman"/>
          <w:sz w:val="24"/>
          <w:szCs w:val="24"/>
        </w:rPr>
        <w:footnoteReference w:id="25"/>
      </w:r>
      <w:r w:rsidRPr="009D786F">
        <w:rPr>
          <w:rFonts w:ascii="Times New Roman" w:eastAsia="Times New Roman" w:hAnsi="Times New Roman" w:cs="Times New Roman"/>
          <w:sz w:val="24"/>
          <w:szCs w:val="24"/>
        </w:rPr>
        <w:t xml:space="preserve"> Similarly, there is a well-developed economic literature showing how active stock picking—adjusting for risk </w:t>
      </w:r>
      <w:r w:rsidRPr="009D786F">
        <w:rPr>
          <w:rFonts w:ascii="Times New Roman" w:eastAsia="Times New Roman" w:hAnsi="Times New Roman" w:cs="Times New Roman"/>
          <w:sz w:val="24"/>
          <w:szCs w:val="24"/>
        </w:rPr>
        <w:lastRenderedPageBreak/>
        <w:t>and transaction costs—tends to underperform passive stock indexing (the very reason for the broad emergence of stock-index funds in the first place</w:t>
      </w:r>
      <w:r w:rsidRPr="009D786F">
        <w:rPr>
          <w:rStyle w:val="FootnoteReference"/>
          <w:rFonts w:ascii="Times New Roman" w:eastAsia="Times New Roman" w:hAnsi="Times New Roman" w:cs="Times New Roman"/>
          <w:sz w:val="24"/>
          <w:szCs w:val="24"/>
        </w:rPr>
        <w:footnoteReference w:id="26"/>
      </w:r>
      <w:r w:rsidRPr="009D786F">
        <w:rPr>
          <w:rFonts w:ascii="Times New Roman" w:eastAsia="Times New Roman" w:hAnsi="Times New Roman" w:cs="Times New Roman"/>
          <w:sz w:val="24"/>
          <w:szCs w:val="24"/>
        </w:rPr>
        <w:t>).</w:t>
      </w:r>
      <w:r w:rsidRPr="009D786F">
        <w:rPr>
          <w:rStyle w:val="FootnoteReference"/>
          <w:rFonts w:ascii="Times New Roman" w:eastAsia="Times New Roman" w:hAnsi="Times New Roman" w:cs="Times New Roman"/>
          <w:sz w:val="24"/>
          <w:szCs w:val="24"/>
        </w:rPr>
        <w:footnoteReference w:id="27"/>
      </w:r>
    </w:p>
    <w:p w14:paraId="01049879" w14:textId="42B3CE87" w:rsidR="00D5448F" w:rsidRPr="00D5448F" w:rsidRDefault="00D5448F" w:rsidP="002B32A1">
      <w:pPr>
        <w:tabs>
          <w:tab w:val="left" w:pos="0"/>
        </w:tabs>
        <w:spacing w:line="276" w:lineRule="auto"/>
        <w:ind w:right="360" w:firstLine="720"/>
        <w:rPr>
          <w:rFonts w:ascii="Times New Roman" w:eastAsia="Times New Roman" w:hAnsi="Times New Roman" w:cs="Times New Roman"/>
          <w:sz w:val="24"/>
          <w:szCs w:val="24"/>
        </w:rPr>
      </w:pPr>
      <w:r w:rsidRPr="00D5448F">
        <w:rPr>
          <w:rFonts w:ascii="Times New Roman" w:eastAsia="Times New Roman" w:hAnsi="Times New Roman" w:cs="Times New Roman"/>
          <w:sz w:val="24"/>
          <w:szCs w:val="24"/>
        </w:rPr>
        <w:t>The aforementioned difficulties aside, there is substantial empirical evidence that certain activist hedge funds have, over the long run, been significantly wealth-enhancing for investors.</w:t>
      </w:r>
      <w:r w:rsidRPr="00D5448F">
        <w:rPr>
          <w:rStyle w:val="FootnoteReference"/>
          <w:rFonts w:ascii="Times New Roman" w:eastAsia="Times New Roman" w:hAnsi="Times New Roman" w:cs="Times New Roman"/>
          <w:sz w:val="24"/>
          <w:szCs w:val="24"/>
        </w:rPr>
        <w:footnoteReference w:id="28"/>
      </w:r>
      <w:r w:rsidRPr="00D5448F">
        <w:rPr>
          <w:rFonts w:ascii="Times New Roman" w:eastAsia="Times New Roman" w:hAnsi="Times New Roman" w:cs="Times New Roman"/>
          <w:sz w:val="24"/>
          <w:szCs w:val="24"/>
        </w:rPr>
        <w:t xml:space="preserve"> Successful activist hedge funds accumulate sizable concentrated holdings in idiosyncratic companies based on “a determination by the hedge fund that the target company is currently not maximizing returns, but that if management would implement the hedge fund’s recommended changes, company performance would improve, the stock would increase in value, and the hedge fund would reap excess returns.”</w:t>
      </w:r>
      <w:r w:rsidRPr="00D5448F">
        <w:rPr>
          <w:rStyle w:val="FootnoteReference"/>
          <w:rFonts w:ascii="Times New Roman" w:eastAsia="Times New Roman" w:hAnsi="Times New Roman" w:cs="Times New Roman"/>
          <w:sz w:val="24"/>
          <w:szCs w:val="24"/>
        </w:rPr>
        <w:footnoteReference w:id="29"/>
      </w:r>
    </w:p>
    <w:p w14:paraId="25C967E1" w14:textId="262D303E" w:rsidR="000E5DBA" w:rsidRDefault="00C1795D" w:rsidP="001B5463">
      <w:pPr>
        <w:tabs>
          <w:tab w:val="left" w:pos="0"/>
        </w:tabs>
        <w:spacing w:line="276" w:lineRule="auto"/>
        <w:ind w:righ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w:t>
      </w:r>
      <w:r w:rsidR="00D5448F" w:rsidRPr="00D5448F">
        <w:rPr>
          <w:rFonts w:ascii="Times New Roman" w:eastAsia="Times New Roman" w:hAnsi="Times New Roman" w:cs="Times New Roman"/>
          <w:sz w:val="24"/>
          <w:szCs w:val="24"/>
        </w:rPr>
        <w:t xml:space="preserve">ESG plan managers </w:t>
      </w:r>
      <w:r>
        <w:rPr>
          <w:rFonts w:ascii="Times New Roman" w:eastAsia="Times New Roman" w:hAnsi="Times New Roman" w:cs="Times New Roman"/>
          <w:sz w:val="24"/>
          <w:szCs w:val="24"/>
        </w:rPr>
        <w:t xml:space="preserve">may </w:t>
      </w:r>
      <w:r w:rsidR="00D5448F" w:rsidRPr="00D5448F">
        <w:rPr>
          <w:rFonts w:ascii="Times New Roman" w:eastAsia="Times New Roman" w:hAnsi="Times New Roman" w:cs="Times New Roman"/>
          <w:sz w:val="24"/>
          <w:szCs w:val="24"/>
        </w:rPr>
        <w:t>claim that their engagement strategies with companies—consisting of, e.g., introducing and voting on shareholder proposals or discussing ESG concerns with corporate leadership—are themselves a form of risk-return investing akin to activist hedge fund engagements. But the two strategies could not be more different. Large institutional investor fund families have relatively small corporate-governance and shareholder-engagement operations,</w:t>
      </w:r>
      <w:r w:rsidR="001B5463" w:rsidRPr="00D5448F">
        <w:rPr>
          <w:rStyle w:val="FootnoteReference"/>
          <w:rFonts w:ascii="Times New Roman" w:eastAsia="Times New Roman" w:hAnsi="Times New Roman" w:cs="Times New Roman"/>
          <w:sz w:val="24"/>
          <w:szCs w:val="24"/>
        </w:rPr>
        <w:footnoteReference w:id="30"/>
      </w:r>
      <w:r w:rsidR="00D5448F" w:rsidRPr="00D5448F">
        <w:rPr>
          <w:rFonts w:ascii="Times New Roman" w:eastAsia="Times New Roman" w:hAnsi="Times New Roman" w:cs="Times New Roman"/>
          <w:sz w:val="24"/>
          <w:szCs w:val="24"/>
        </w:rPr>
        <w:t xml:space="preserve"> only loosely linked to asset managers selecting securities, through which they engage in ESG activism with a host of companies held in heavily diversified portfolios. It strains credulity to believe that these thinly staffed corporate-governance offices will be able to improve firm performance through blunderbuss ESG engagement comparable to the targeted investment strategies of activist investors taking concentrated market positions.</w:t>
      </w:r>
    </w:p>
    <w:p w14:paraId="2E63BDCD" w14:textId="77777777" w:rsidR="00FD68E2" w:rsidRDefault="00FD68E2" w:rsidP="00FD68E2">
      <w:pPr>
        <w:tabs>
          <w:tab w:val="left" w:pos="0"/>
        </w:tabs>
        <w:spacing w:line="276" w:lineRule="auto"/>
        <w:ind w:right="360"/>
        <w:rPr>
          <w:rFonts w:ascii="Times New Roman" w:eastAsia="Times New Roman" w:hAnsi="Times New Roman" w:cs="Times New Roman"/>
          <w:sz w:val="24"/>
          <w:szCs w:val="24"/>
        </w:rPr>
      </w:pPr>
    </w:p>
    <w:p w14:paraId="03B63AA2" w14:textId="4D624D9F" w:rsidR="00FD68E2" w:rsidRPr="00FD68E2" w:rsidRDefault="00FD68E2" w:rsidP="00FD68E2">
      <w:pPr>
        <w:tabs>
          <w:tab w:val="left" w:pos="0"/>
        </w:tabs>
        <w:spacing w:line="276" w:lineRule="auto"/>
        <w:ind w:right="360"/>
        <w:rPr>
          <w:rFonts w:ascii="Times New Roman" w:eastAsia="Times New Roman" w:hAnsi="Times New Roman" w:cs="Times New Roman"/>
          <w:b/>
          <w:bCs/>
          <w:i/>
          <w:iCs/>
          <w:sz w:val="28"/>
          <w:szCs w:val="28"/>
        </w:rPr>
      </w:pPr>
      <w:r w:rsidRPr="00FD68E2">
        <w:rPr>
          <w:rFonts w:ascii="Times New Roman" w:eastAsia="Times New Roman" w:hAnsi="Times New Roman" w:cs="Times New Roman"/>
          <w:b/>
          <w:bCs/>
          <w:i/>
          <w:iCs/>
          <w:sz w:val="24"/>
          <w:szCs w:val="24"/>
        </w:rPr>
        <w:t>Costs of</w:t>
      </w:r>
      <w:r>
        <w:rPr>
          <w:rFonts w:ascii="Times New Roman" w:eastAsia="Times New Roman" w:hAnsi="Times New Roman" w:cs="Times New Roman"/>
          <w:b/>
          <w:bCs/>
          <w:i/>
          <w:iCs/>
          <w:sz w:val="24"/>
          <w:szCs w:val="24"/>
        </w:rPr>
        <w:t xml:space="preserve"> </w:t>
      </w:r>
      <w:r w:rsidR="00F308BA">
        <w:rPr>
          <w:rFonts w:ascii="Times New Roman" w:eastAsia="Times New Roman" w:hAnsi="Times New Roman" w:cs="Times New Roman"/>
          <w:b/>
          <w:bCs/>
          <w:i/>
          <w:iCs/>
          <w:sz w:val="24"/>
          <w:szCs w:val="24"/>
        </w:rPr>
        <w:t>Subverting ERISA Plans’ Duties to ESG Goals</w:t>
      </w:r>
    </w:p>
    <w:p w14:paraId="50F16D90" w14:textId="77777777" w:rsidR="00EF25B6" w:rsidRDefault="0018029E" w:rsidP="00DF6B5E">
      <w:pPr>
        <w:tabs>
          <w:tab w:val="left" w:pos="0"/>
        </w:tabs>
        <w:spacing w:line="276" w:lineRule="auto"/>
        <w:ind w:right="360" w:firstLine="720"/>
        <w:rPr>
          <w:rFonts w:ascii="Times New Roman" w:eastAsia="Times New Roman" w:hAnsi="Times New Roman" w:cs="Times New Roman"/>
          <w:sz w:val="24"/>
          <w:szCs w:val="24"/>
        </w:rPr>
      </w:pPr>
      <w:r w:rsidRPr="00057D45">
        <w:rPr>
          <w:rFonts w:ascii="Times New Roman" w:eastAsia="Times New Roman" w:hAnsi="Times New Roman" w:cs="Times New Roman"/>
          <w:sz w:val="24"/>
          <w:szCs w:val="24"/>
        </w:rPr>
        <w:t xml:space="preserve">Such concerns are not merely theoretical. In 2008, the California State Teachers’ Retirement System (CalSTRS) estimated that the fund had lost $1 billion in potential gains after State Treasurer Phil Angelides pressured California’s pension funds to divest from </w:t>
      </w:r>
      <w:r w:rsidRPr="00057D45">
        <w:rPr>
          <w:rFonts w:ascii="Times New Roman" w:eastAsia="Times New Roman" w:hAnsi="Times New Roman" w:cs="Times New Roman"/>
          <w:sz w:val="24"/>
          <w:szCs w:val="24"/>
        </w:rPr>
        <w:lastRenderedPageBreak/>
        <w:t>tobacco companies—just as their share prices had begun to rebound.</w:t>
      </w:r>
      <w:r w:rsidRPr="00057D45">
        <w:rPr>
          <w:rStyle w:val="FootnoteReference"/>
          <w:rFonts w:ascii="Times New Roman" w:eastAsia="Times New Roman" w:hAnsi="Times New Roman" w:cs="Times New Roman"/>
          <w:sz w:val="24"/>
          <w:szCs w:val="24"/>
        </w:rPr>
        <w:footnoteReference w:id="31"/>
      </w:r>
      <w:r w:rsidRPr="00057D45">
        <w:rPr>
          <w:rFonts w:ascii="Times New Roman" w:eastAsia="Times New Roman" w:hAnsi="Times New Roman" w:cs="Times New Roman"/>
          <w:sz w:val="24"/>
          <w:szCs w:val="24"/>
        </w:rPr>
        <w:t xml:space="preserve"> In 2015, the chief investment officer of CalSTRS told his board: “I’ve been involved in five divestments for our fund. All five of them we’ve lost money, and all five of them have not brought about social change.”</w:t>
      </w:r>
      <w:r w:rsidRPr="00057D45">
        <w:rPr>
          <w:rStyle w:val="FootnoteReference"/>
          <w:rFonts w:ascii="Times New Roman" w:eastAsia="Times New Roman" w:hAnsi="Times New Roman" w:cs="Times New Roman"/>
          <w:sz w:val="24"/>
          <w:szCs w:val="24"/>
        </w:rPr>
        <w:footnoteReference w:id="32"/>
      </w:r>
    </w:p>
    <w:p w14:paraId="4C5D1F20" w14:textId="30D3F981" w:rsidR="00EF25B6" w:rsidRDefault="007D22DD" w:rsidP="00DF6B5E">
      <w:pPr>
        <w:tabs>
          <w:tab w:val="left" w:pos="0"/>
        </w:tabs>
        <w:spacing w:line="276" w:lineRule="auto"/>
        <w:ind w:right="360" w:firstLine="720"/>
        <w:rPr>
          <w:rFonts w:ascii="Times New Roman" w:eastAsia="Times New Roman" w:hAnsi="Times New Roman" w:cs="Times New Roman"/>
          <w:sz w:val="24"/>
          <w:szCs w:val="24"/>
        </w:rPr>
      </w:pPr>
      <w:r w:rsidRPr="00EF25B6">
        <w:rPr>
          <w:rFonts w:ascii="Times New Roman" w:eastAsia="Times New Roman" w:hAnsi="Times New Roman" w:cs="Times New Roman"/>
          <w:sz w:val="24"/>
          <w:szCs w:val="24"/>
        </w:rPr>
        <w:t xml:space="preserve">Nor are </w:t>
      </w:r>
      <w:r w:rsidR="00EF25B6" w:rsidRPr="00EF25B6">
        <w:rPr>
          <w:rFonts w:ascii="Times New Roman" w:eastAsia="Times New Roman" w:hAnsi="Times New Roman" w:cs="Times New Roman"/>
          <w:sz w:val="24"/>
          <w:szCs w:val="24"/>
        </w:rPr>
        <w:t>these concerns merely anecdotal. In 2015, the Manhattan Institute commissioned an econometric study of shareholder activism and firm value.</w:t>
      </w:r>
      <w:r w:rsidR="00EF25B6" w:rsidRPr="00EF25B6">
        <w:rPr>
          <w:rStyle w:val="FootnoteReference"/>
          <w:rFonts w:ascii="Times New Roman" w:hAnsi="Times New Roman" w:cs="Times New Roman"/>
          <w:sz w:val="24"/>
          <w:szCs w:val="24"/>
        </w:rPr>
        <w:footnoteReference w:id="33"/>
      </w:r>
      <w:r w:rsidR="00EF25B6" w:rsidRPr="00EF25B6">
        <w:rPr>
          <w:rFonts w:ascii="Times New Roman" w:eastAsia="Times New Roman" w:hAnsi="Times New Roman" w:cs="Times New Roman"/>
          <w:sz w:val="24"/>
          <w:szCs w:val="24"/>
        </w:rPr>
        <w:t xml:space="preserve"> Tracie Woidtke, a professor at the Haslam College of Business at the University of Tennessee, examined the valuation effects associated with public pension fund influence, measured through ownership, on Fortune 250 companies. </w:t>
      </w:r>
      <w:proofErr w:type="spellStart"/>
      <w:r w:rsidR="00EF25B6" w:rsidRPr="00EF25B6">
        <w:rPr>
          <w:rFonts w:ascii="Times New Roman" w:eastAsia="Times New Roman" w:hAnsi="Times New Roman" w:cs="Times New Roman"/>
          <w:sz w:val="24"/>
          <w:szCs w:val="24"/>
        </w:rPr>
        <w:t>Woidtke</w:t>
      </w:r>
      <w:proofErr w:type="spellEnd"/>
      <w:r w:rsidR="00EF25B6" w:rsidRPr="00EF25B6">
        <w:rPr>
          <w:rFonts w:ascii="Times New Roman" w:eastAsia="Times New Roman" w:hAnsi="Times New Roman" w:cs="Times New Roman"/>
          <w:sz w:val="24"/>
          <w:szCs w:val="24"/>
        </w:rPr>
        <w:t xml:space="preserve"> found that “public pension funds’ ownership is associated with lower firm value” and, more particularly, that “social-issue shareholder-proposal activism appears to be negatively related to firm value.”</w:t>
      </w:r>
      <w:r w:rsidR="00EF25B6" w:rsidRPr="00EF25B6">
        <w:rPr>
          <w:rStyle w:val="FootnoteReference"/>
          <w:rFonts w:ascii="Times New Roman" w:hAnsi="Times New Roman" w:cs="Times New Roman"/>
          <w:sz w:val="24"/>
          <w:szCs w:val="24"/>
        </w:rPr>
        <w:footnoteReference w:id="34"/>
      </w:r>
      <w:r w:rsidR="00EF25B6" w:rsidRPr="00EF25B6">
        <w:rPr>
          <w:rFonts w:ascii="Times New Roman" w:eastAsia="Times New Roman" w:hAnsi="Times New Roman" w:cs="Times New Roman"/>
          <w:sz w:val="24"/>
          <w:szCs w:val="24"/>
        </w:rPr>
        <w:t xml:space="preserve">  </w:t>
      </w:r>
    </w:p>
    <w:p w14:paraId="1AC1154E" w14:textId="42BD707B" w:rsidR="00DF6B5E" w:rsidRPr="00DF6B5E" w:rsidRDefault="00DF6B5E" w:rsidP="00DF6B5E">
      <w:pPr>
        <w:tabs>
          <w:tab w:val="left" w:pos="0"/>
        </w:tabs>
        <w:spacing w:line="276" w:lineRule="auto"/>
        <w:ind w:right="360" w:firstLine="720"/>
        <w:rPr>
          <w:rFonts w:ascii="Times New Roman" w:eastAsia="Times New Roman" w:hAnsi="Times New Roman" w:cs="Times New Roman"/>
          <w:sz w:val="24"/>
          <w:szCs w:val="24"/>
        </w:rPr>
      </w:pPr>
      <w:r>
        <w:rPr>
          <w:rFonts w:ascii="Times New Roman" w:eastAsia="Times New Roman" w:hAnsi="Times New Roman" w:cs="Times New Roman"/>
        </w:rPr>
        <w:t>I</w:t>
      </w:r>
      <w:r w:rsidRPr="00DF6B5E">
        <w:rPr>
          <w:rFonts w:ascii="Times New Roman" w:eastAsia="Times New Roman" w:hAnsi="Times New Roman" w:cs="Times New Roman"/>
          <w:sz w:val="24"/>
          <w:szCs w:val="24"/>
        </w:rPr>
        <w:t xml:space="preserve">n addition to these </w:t>
      </w:r>
      <w:r w:rsidRPr="00DF6B5E">
        <w:rPr>
          <w:rFonts w:ascii="Times New Roman" w:eastAsia="Times New Roman" w:hAnsi="Times New Roman" w:cs="Times New Roman"/>
          <w:i/>
          <w:iCs/>
          <w:sz w:val="24"/>
          <w:szCs w:val="24"/>
        </w:rPr>
        <w:t>prudential</w:t>
      </w:r>
      <w:r w:rsidRPr="00DF6B5E">
        <w:rPr>
          <w:rFonts w:ascii="Times New Roman" w:eastAsia="Times New Roman" w:hAnsi="Times New Roman" w:cs="Times New Roman"/>
          <w:sz w:val="24"/>
          <w:szCs w:val="24"/>
        </w:rPr>
        <w:t xml:space="preserve"> concerns, it is important to recognize that large fund families’ ESG engagement is typically rife with conflicts of interest that implicate ERISA plans’ </w:t>
      </w:r>
      <w:r w:rsidRPr="00DF6B5E">
        <w:rPr>
          <w:rFonts w:ascii="Times New Roman" w:eastAsia="Times New Roman" w:hAnsi="Times New Roman" w:cs="Times New Roman"/>
          <w:i/>
          <w:iCs/>
          <w:sz w:val="24"/>
          <w:szCs w:val="24"/>
        </w:rPr>
        <w:t xml:space="preserve">duty of loyalty </w:t>
      </w:r>
      <w:r w:rsidRPr="00DF6B5E">
        <w:rPr>
          <w:rFonts w:ascii="Times New Roman" w:eastAsia="Times New Roman" w:hAnsi="Times New Roman" w:cs="Times New Roman"/>
          <w:sz w:val="24"/>
          <w:szCs w:val="24"/>
        </w:rPr>
        <w:t xml:space="preserve">as well. As </w:t>
      </w:r>
      <w:r>
        <w:rPr>
          <w:rFonts w:ascii="Times New Roman" w:eastAsia="Times New Roman" w:hAnsi="Times New Roman" w:cs="Times New Roman"/>
          <w:sz w:val="24"/>
          <w:szCs w:val="24"/>
        </w:rPr>
        <w:t>Bernard</w:t>
      </w:r>
      <w:r w:rsidRPr="00DF6B5E">
        <w:rPr>
          <w:rFonts w:ascii="Times New Roman" w:eastAsia="Times New Roman" w:hAnsi="Times New Roman" w:cs="Times New Roman"/>
          <w:sz w:val="24"/>
          <w:szCs w:val="24"/>
        </w:rPr>
        <w:t xml:space="preserve"> Sharfman </w:t>
      </w:r>
      <w:r>
        <w:rPr>
          <w:rFonts w:ascii="Times New Roman" w:eastAsia="Times New Roman" w:hAnsi="Times New Roman" w:cs="Times New Roman"/>
          <w:sz w:val="24"/>
          <w:szCs w:val="24"/>
        </w:rPr>
        <w:t xml:space="preserve">wrote </w:t>
      </w:r>
      <w:r w:rsidRPr="00DF6B5E">
        <w:rPr>
          <w:rFonts w:ascii="Times New Roman" w:eastAsia="Times New Roman" w:hAnsi="Times New Roman" w:cs="Times New Roman"/>
          <w:sz w:val="24"/>
          <w:szCs w:val="24"/>
        </w:rPr>
        <w:t xml:space="preserve">in his paper analyzing BlackRock’s shareholder engagement, fund activism is probably best explained—apart from agency costs allowing managers to leverage passive index fund holdings for idiosyncratic personal social goals—as being related to strategic decisions to attract and retain fund capital by </w:t>
      </w:r>
      <w:r w:rsidRPr="00DF6B5E">
        <w:rPr>
          <w:rFonts w:ascii="Times New Roman" w:eastAsia="Times New Roman" w:hAnsi="Times New Roman" w:cs="Times New Roman"/>
          <w:i/>
          <w:iCs/>
          <w:sz w:val="24"/>
          <w:szCs w:val="24"/>
        </w:rPr>
        <w:t xml:space="preserve">marketing </w:t>
      </w:r>
      <w:r w:rsidRPr="00DF6B5E">
        <w:rPr>
          <w:rFonts w:ascii="Times New Roman" w:eastAsia="Times New Roman" w:hAnsi="Times New Roman" w:cs="Times New Roman"/>
          <w:sz w:val="24"/>
          <w:szCs w:val="24"/>
        </w:rPr>
        <w:t xml:space="preserve">to millennial and left-leaning investor preferences and by </w:t>
      </w:r>
      <w:r w:rsidRPr="00DF6B5E">
        <w:rPr>
          <w:rFonts w:ascii="Times New Roman" w:eastAsia="Times New Roman" w:hAnsi="Times New Roman" w:cs="Times New Roman"/>
          <w:i/>
          <w:iCs/>
          <w:sz w:val="24"/>
          <w:szCs w:val="24"/>
        </w:rPr>
        <w:t>appeasing</w:t>
      </w:r>
      <w:r w:rsidRPr="00DF6B5E">
        <w:rPr>
          <w:rFonts w:ascii="Times New Roman" w:eastAsia="Times New Roman" w:hAnsi="Times New Roman" w:cs="Times New Roman"/>
          <w:sz w:val="24"/>
          <w:szCs w:val="24"/>
        </w:rPr>
        <w:t xml:space="preserve"> social investors, including public pension funds responsive to political interests and public employee labor unions.</w:t>
      </w:r>
      <w:r w:rsidRPr="00DF6B5E">
        <w:rPr>
          <w:rStyle w:val="FootnoteReference"/>
          <w:rFonts w:ascii="Times New Roman" w:eastAsia="Times New Roman" w:hAnsi="Times New Roman" w:cs="Times New Roman"/>
          <w:sz w:val="24"/>
          <w:szCs w:val="24"/>
        </w:rPr>
        <w:footnoteReference w:id="35"/>
      </w:r>
      <w:r w:rsidRPr="00DF6B5E">
        <w:rPr>
          <w:rFonts w:ascii="Times New Roman" w:eastAsia="Times New Roman" w:hAnsi="Times New Roman" w:cs="Times New Roman"/>
          <w:sz w:val="24"/>
          <w:szCs w:val="24"/>
        </w:rPr>
        <w:t xml:space="preserve"> </w:t>
      </w:r>
    </w:p>
    <w:p w14:paraId="4B7E099B" w14:textId="1176E25A" w:rsidR="00DF6B5E" w:rsidRPr="00DF6B5E" w:rsidRDefault="00DF6B5E" w:rsidP="00354722">
      <w:pPr>
        <w:tabs>
          <w:tab w:val="left" w:pos="0"/>
        </w:tabs>
        <w:spacing w:line="276" w:lineRule="auto"/>
        <w:ind w:right="360" w:firstLine="720"/>
        <w:rPr>
          <w:rFonts w:ascii="Times New Roman" w:eastAsia="Times New Roman" w:hAnsi="Times New Roman" w:cs="Times New Roman"/>
          <w:sz w:val="24"/>
          <w:szCs w:val="24"/>
        </w:rPr>
      </w:pPr>
      <w:r w:rsidRPr="00DF6B5E">
        <w:rPr>
          <w:rFonts w:ascii="Times New Roman" w:eastAsia="Times New Roman" w:hAnsi="Times New Roman" w:cs="Times New Roman"/>
          <w:sz w:val="24"/>
          <w:szCs w:val="24"/>
        </w:rPr>
        <w:t>Some fund managers may also prefer to attract new ESG dollars, relative to lower-cost index-fund vehicles, precisely because such funds can maintain a higher overall fee structure for the organization. Low-fee index funds now approach half of all dollars invested through stock mutual funds in U.S. equity markets</w:t>
      </w:r>
      <w:r w:rsidR="00B34D7D">
        <w:rPr>
          <w:rFonts w:ascii="Times New Roman" w:eastAsia="Times New Roman" w:hAnsi="Times New Roman" w:cs="Times New Roman"/>
          <w:sz w:val="24"/>
          <w:szCs w:val="24"/>
        </w:rPr>
        <w:t>.</w:t>
      </w:r>
      <w:r w:rsidRPr="00DF6B5E">
        <w:rPr>
          <w:rStyle w:val="FootnoteReference"/>
          <w:rFonts w:ascii="Times New Roman" w:eastAsia="Times New Roman" w:hAnsi="Times New Roman" w:cs="Times New Roman"/>
          <w:sz w:val="24"/>
          <w:szCs w:val="24"/>
        </w:rPr>
        <w:footnoteReference w:id="36"/>
      </w:r>
      <w:r w:rsidRPr="00DF6B5E">
        <w:rPr>
          <w:rFonts w:ascii="Times New Roman" w:eastAsia="Times New Roman" w:hAnsi="Times New Roman" w:cs="Times New Roman"/>
          <w:sz w:val="24"/>
          <w:szCs w:val="24"/>
        </w:rPr>
        <w:t xml:space="preserve"> </w:t>
      </w:r>
      <w:r w:rsidR="004A7144">
        <w:rPr>
          <w:rFonts w:ascii="Times New Roman" w:eastAsia="Times New Roman" w:hAnsi="Times New Roman" w:cs="Times New Roman"/>
          <w:sz w:val="24"/>
          <w:szCs w:val="24"/>
        </w:rPr>
        <w:t>A</w:t>
      </w:r>
      <w:r w:rsidRPr="00DF6B5E">
        <w:rPr>
          <w:rFonts w:ascii="Times New Roman" w:eastAsia="Times New Roman" w:hAnsi="Times New Roman" w:cs="Times New Roman"/>
          <w:sz w:val="24"/>
          <w:szCs w:val="24"/>
        </w:rPr>
        <w:t xml:space="preserve">lthough ESG-focused funds </w:t>
      </w:r>
      <w:r w:rsidR="004A7144">
        <w:rPr>
          <w:rFonts w:ascii="Times New Roman" w:eastAsia="Times New Roman" w:hAnsi="Times New Roman" w:cs="Times New Roman"/>
          <w:sz w:val="24"/>
          <w:szCs w:val="24"/>
        </w:rPr>
        <w:t>have been losing market share more recently in the United States,</w:t>
      </w:r>
      <w:r w:rsidR="00C270BB">
        <w:rPr>
          <w:rStyle w:val="FootnoteReference"/>
          <w:rFonts w:ascii="Times New Roman" w:eastAsia="Times New Roman" w:hAnsi="Times New Roman" w:cs="Times New Roman"/>
          <w:sz w:val="24"/>
          <w:szCs w:val="24"/>
        </w:rPr>
        <w:footnoteReference w:id="37"/>
      </w:r>
      <w:r w:rsidR="004A7144">
        <w:rPr>
          <w:rFonts w:ascii="Times New Roman" w:eastAsia="Times New Roman" w:hAnsi="Times New Roman" w:cs="Times New Roman"/>
          <w:sz w:val="24"/>
          <w:szCs w:val="24"/>
        </w:rPr>
        <w:t xml:space="preserve"> they are markedly more common than a decade ago, when then constituted </w:t>
      </w:r>
      <w:r w:rsidRPr="00DF6B5E">
        <w:rPr>
          <w:rFonts w:ascii="Times New Roman" w:eastAsia="Times New Roman" w:hAnsi="Times New Roman" w:cs="Times New Roman"/>
          <w:sz w:val="24"/>
          <w:szCs w:val="24"/>
        </w:rPr>
        <w:t xml:space="preserve">just </w:t>
      </w:r>
      <w:r w:rsidR="004A7144">
        <w:rPr>
          <w:rFonts w:ascii="Times New Roman" w:eastAsia="Times New Roman" w:hAnsi="Times New Roman" w:cs="Times New Roman"/>
          <w:sz w:val="24"/>
          <w:szCs w:val="24"/>
        </w:rPr>
        <w:t>1 percent of the U.S. mutual fund market</w:t>
      </w:r>
      <w:r w:rsidRPr="00DF6B5E">
        <w:rPr>
          <w:rFonts w:ascii="Times New Roman" w:eastAsia="Times New Roman" w:hAnsi="Times New Roman" w:cs="Times New Roman"/>
          <w:sz w:val="24"/>
          <w:szCs w:val="24"/>
        </w:rPr>
        <w:t>.</w:t>
      </w:r>
      <w:r w:rsidRPr="00DF6B5E">
        <w:rPr>
          <w:rStyle w:val="FootnoteReference"/>
          <w:rFonts w:ascii="Times New Roman" w:eastAsia="Times New Roman" w:hAnsi="Times New Roman" w:cs="Times New Roman"/>
          <w:sz w:val="24"/>
          <w:szCs w:val="24"/>
        </w:rPr>
        <w:footnoteReference w:id="38"/>
      </w:r>
      <w:r w:rsidRPr="00DF6B5E">
        <w:rPr>
          <w:rFonts w:ascii="Times New Roman" w:eastAsia="Times New Roman" w:hAnsi="Times New Roman" w:cs="Times New Roman"/>
          <w:sz w:val="24"/>
          <w:szCs w:val="24"/>
        </w:rPr>
        <w:t xml:space="preserve"> Put simply: the economic and other interests of fund managers and executives tend to be well-</w:t>
      </w:r>
      <w:r w:rsidRPr="00DF6B5E">
        <w:rPr>
          <w:rFonts w:ascii="Times New Roman" w:eastAsia="Times New Roman" w:hAnsi="Times New Roman" w:cs="Times New Roman"/>
          <w:sz w:val="24"/>
          <w:szCs w:val="24"/>
        </w:rPr>
        <w:lastRenderedPageBreak/>
        <w:t xml:space="preserve">aligned with ESG engagement strategies—but not the interests of the underlying investors owed a fiduciary duty. </w:t>
      </w:r>
    </w:p>
    <w:p w14:paraId="54FC2F96" w14:textId="77777777" w:rsidR="009C4F80" w:rsidRDefault="009C4F80" w:rsidP="00004F28">
      <w:pPr>
        <w:tabs>
          <w:tab w:val="left" w:pos="0"/>
        </w:tabs>
        <w:spacing w:line="276" w:lineRule="auto"/>
        <w:ind w:right="360"/>
        <w:jc w:val="both"/>
        <w:rPr>
          <w:rFonts w:ascii="Times New Roman" w:eastAsia="Times New Roman" w:hAnsi="Times New Roman" w:cs="Times New Roman"/>
          <w:sz w:val="24"/>
          <w:szCs w:val="24"/>
        </w:rPr>
      </w:pPr>
    </w:p>
    <w:p w14:paraId="15D045A5" w14:textId="1AEFC8FD" w:rsidR="00004F28" w:rsidRPr="00004F28" w:rsidRDefault="00004F28" w:rsidP="00004F28">
      <w:pPr>
        <w:tabs>
          <w:tab w:val="left" w:pos="0"/>
        </w:tabs>
        <w:spacing w:line="276" w:lineRule="auto"/>
        <w:ind w:right="360"/>
        <w:jc w:val="both"/>
        <w:rPr>
          <w:rFonts w:ascii="Times New Roman" w:eastAsia="Times New Roman" w:hAnsi="Times New Roman" w:cs="Times New Roman"/>
          <w:b/>
          <w:bCs/>
          <w:i/>
          <w:iCs/>
          <w:sz w:val="24"/>
          <w:szCs w:val="24"/>
        </w:rPr>
      </w:pPr>
      <w:r w:rsidRPr="00004F28">
        <w:rPr>
          <w:rFonts w:ascii="Times New Roman" w:eastAsia="Times New Roman" w:hAnsi="Times New Roman" w:cs="Times New Roman"/>
          <w:b/>
          <w:bCs/>
          <w:i/>
          <w:iCs/>
          <w:sz w:val="24"/>
          <w:szCs w:val="24"/>
        </w:rPr>
        <w:t>Conclusion</w:t>
      </w:r>
    </w:p>
    <w:p w14:paraId="135070C3" w14:textId="12503B17" w:rsidR="00004F28" w:rsidRPr="00004F28" w:rsidRDefault="00004F28" w:rsidP="00E35D67">
      <w:pPr>
        <w:tabs>
          <w:tab w:val="left" w:pos="0"/>
          <w:tab w:val="left" w:pos="620"/>
          <w:tab w:val="left" w:pos="720"/>
        </w:tabs>
        <w:spacing w:line="276" w:lineRule="auto"/>
        <w:ind w:right="360" w:firstLine="360"/>
        <w:rPr>
          <w:rFonts w:ascii="Times New Roman" w:eastAsia="Times New Roman" w:hAnsi="Times New Roman" w:cs="Times New Roman"/>
          <w:sz w:val="24"/>
          <w:szCs w:val="24"/>
        </w:rPr>
      </w:pPr>
      <w:r w:rsidRPr="00004F28">
        <w:rPr>
          <w:rFonts w:ascii="Times New Roman" w:eastAsia="Times New Roman" w:hAnsi="Times New Roman" w:cs="Times New Roman"/>
          <w:sz w:val="24"/>
          <w:szCs w:val="24"/>
        </w:rPr>
        <w:t xml:space="preserve">Congress has been reasonably clear that ERISA fiduciaries </w:t>
      </w:r>
      <w:r w:rsidR="00E35D67">
        <w:rPr>
          <w:rFonts w:ascii="Times New Roman" w:eastAsia="Times New Roman" w:hAnsi="Times New Roman" w:cs="Times New Roman"/>
          <w:sz w:val="24"/>
          <w:szCs w:val="24"/>
        </w:rPr>
        <w:t xml:space="preserve">should </w:t>
      </w:r>
      <w:r w:rsidRPr="00004F28">
        <w:rPr>
          <w:rFonts w:ascii="Times New Roman" w:eastAsia="Times New Roman" w:hAnsi="Times New Roman" w:cs="Times New Roman"/>
          <w:sz w:val="24"/>
          <w:szCs w:val="24"/>
        </w:rPr>
        <w:t xml:space="preserve">manage funds </w:t>
      </w:r>
      <w:r w:rsidRPr="00E35D67">
        <w:rPr>
          <w:rFonts w:ascii="Times New Roman" w:eastAsia="Times New Roman" w:hAnsi="Times New Roman" w:cs="Times New Roman"/>
          <w:sz w:val="24"/>
          <w:szCs w:val="24"/>
        </w:rPr>
        <w:t>solely</w:t>
      </w:r>
      <w:r w:rsidRPr="00004F28">
        <w:rPr>
          <w:rFonts w:ascii="Times New Roman" w:eastAsia="Times New Roman" w:hAnsi="Times New Roman" w:cs="Times New Roman"/>
          <w:sz w:val="24"/>
          <w:szCs w:val="24"/>
        </w:rPr>
        <w:t xml:space="preserve"> for the </w:t>
      </w:r>
      <w:r w:rsidRPr="00E35D67">
        <w:rPr>
          <w:rFonts w:ascii="Times New Roman" w:eastAsia="Times New Roman" w:hAnsi="Times New Roman" w:cs="Times New Roman"/>
          <w:sz w:val="24"/>
          <w:szCs w:val="24"/>
        </w:rPr>
        <w:t>exclusive purpose</w:t>
      </w:r>
      <w:r w:rsidRPr="00004F28">
        <w:rPr>
          <w:rFonts w:ascii="Times New Roman" w:eastAsia="Times New Roman" w:hAnsi="Times New Roman" w:cs="Times New Roman"/>
          <w:sz w:val="24"/>
          <w:szCs w:val="24"/>
        </w:rPr>
        <w:t xml:space="preserve"> of maximizing plan beneficiaries’ financial returns at the lowest cost. </w:t>
      </w:r>
      <w:r w:rsidR="00E35D67">
        <w:rPr>
          <w:rFonts w:ascii="Times New Roman" w:eastAsia="Times New Roman" w:hAnsi="Times New Roman" w:cs="Times New Roman"/>
          <w:sz w:val="24"/>
          <w:szCs w:val="24"/>
        </w:rPr>
        <w:t xml:space="preserve">Unfortunately, a series of vacillating </w:t>
      </w:r>
      <w:r w:rsidR="00822C63">
        <w:rPr>
          <w:rFonts w:ascii="Times New Roman" w:eastAsia="Times New Roman" w:hAnsi="Times New Roman" w:cs="Times New Roman"/>
          <w:sz w:val="24"/>
          <w:szCs w:val="24"/>
        </w:rPr>
        <w:t xml:space="preserve">executive branch rulemakings has muddied the waters. </w:t>
      </w:r>
      <w:r w:rsidR="00F90584">
        <w:rPr>
          <w:rFonts w:ascii="Times New Roman" w:eastAsia="Times New Roman" w:hAnsi="Times New Roman" w:cs="Times New Roman"/>
          <w:sz w:val="24"/>
          <w:szCs w:val="24"/>
        </w:rPr>
        <w:t xml:space="preserve">As observed at the outset, the United States has a twin retirement challenge owing to the pending insolvency of the Social Security system and </w:t>
      </w:r>
      <w:r w:rsidR="00866681">
        <w:rPr>
          <w:rFonts w:ascii="Times New Roman" w:eastAsia="Times New Roman" w:hAnsi="Times New Roman" w:cs="Times New Roman"/>
          <w:sz w:val="24"/>
          <w:szCs w:val="24"/>
        </w:rPr>
        <w:t xml:space="preserve">a </w:t>
      </w:r>
      <w:r w:rsidR="00F90584">
        <w:rPr>
          <w:rFonts w:ascii="Times New Roman" w:eastAsia="Times New Roman" w:hAnsi="Times New Roman" w:cs="Times New Roman"/>
          <w:sz w:val="24"/>
          <w:szCs w:val="24"/>
        </w:rPr>
        <w:t xml:space="preserve">substantial </w:t>
      </w:r>
      <w:r w:rsidR="00866681">
        <w:rPr>
          <w:rFonts w:ascii="Times New Roman" w:eastAsia="Times New Roman" w:hAnsi="Times New Roman" w:cs="Times New Roman"/>
          <w:sz w:val="24"/>
          <w:szCs w:val="24"/>
        </w:rPr>
        <w:t xml:space="preserve">percentage of Americans with no or inadequate private pension savings. The last thing this fragile system needs is to exacerbate these problems with </w:t>
      </w:r>
      <w:r w:rsidR="00526D6C">
        <w:rPr>
          <w:rFonts w:ascii="Times New Roman" w:eastAsia="Times New Roman" w:hAnsi="Times New Roman" w:cs="Times New Roman"/>
          <w:sz w:val="24"/>
          <w:szCs w:val="24"/>
        </w:rPr>
        <w:t>pension assets diverted away from</w:t>
      </w:r>
      <w:r w:rsidR="00873ABD">
        <w:rPr>
          <w:rFonts w:ascii="Times New Roman" w:eastAsia="Times New Roman" w:hAnsi="Times New Roman" w:cs="Times New Roman"/>
          <w:sz w:val="24"/>
          <w:szCs w:val="24"/>
        </w:rPr>
        <w:t xml:space="preserve"> financially optimal investment strategies in pursuit of environmental and social policy objectives with an attenuated—or inverted—relationship to </w:t>
      </w:r>
      <w:r w:rsidR="00FF736F">
        <w:rPr>
          <w:rFonts w:ascii="Times New Roman" w:eastAsia="Times New Roman" w:hAnsi="Times New Roman" w:cs="Times New Roman"/>
          <w:sz w:val="24"/>
          <w:szCs w:val="24"/>
        </w:rPr>
        <w:t xml:space="preserve">share </w:t>
      </w:r>
      <w:r w:rsidR="0006074A">
        <w:rPr>
          <w:rFonts w:ascii="Times New Roman" w:eastAsia="Times New Roman" w:hAnsi="Times New Roman" w:cs="Times New Roman"/>
          <w:sz w:val="24"/>
          <w:szCs w:val="24"/>
        </w:rPr>
        <w:t>value.</w:t>
      </w:r>
    </w:p>
    <w:p w14:paraId="3174BB90" w14:textId="3FAC302A" w:rsidR="00F77639" w:rsidRPr="001C6109" w:rsidRDefault="00F77639" w:rsidP="0006074A">
      <w:pPr>
        <w:pStyle w:val="BodyText"/>
        <w:spacing w:line="259" w:lineRule="auto"/>
        <w:ind w:left="115" w:right="130" w:firstLine="605"/>
        <w:rPr>
          <w:rFonts w:ascii="Times New Roman" w:hAnsi="Times New Roman" w:cs="Times New Roman"/>
        </w:rPr>
      </w:pPr>
      <w:r w:rsidRPr="001C6109">
        <w:rPr>
          <w:rFonts w:ascii="Times New Roman" w:hAnsi="Times New Roman" w:cs="Times New Roman"/>
        </w:rPr>
        <w:t xml:space="preserve">I encourage </w:t>
      </w:r>
      <w:r w:rsidR="00F90584">
        <w:rPr>
          <w:rFonts w:ascii="Times New Roman" w:hAnsi="Times New Roman" w:cs="Times New Roman"/>
        </w:rPr>
        <w:t>m</w:t>
      </w:r>
      <w:r w:rsidRPr="001C6109">
        <w:rPr>
          <w:rFonts w:ascii="Times New Roman" w:hAnsi="Times New Roman" w:cs="Times New Roman"/>
        </w:rPr>
        <w:t xml:space="preserve">embers of the </w:t>
      </w:r>
      <w:r>
        <w:rPr>
          <w:rFonts w:ascii="Times New Roman" w:hAnsi="Times New Roman" w:cs="Times New Roman"/>
        </w:rPr>
        <w:t>C</w:t>
      </w:r>
      <w:r w:rsidRPr="001C6109">
        <w:rPr>
          <w:rFonts w:ascii="Times New Roman" w:hAnsi="Times New Roman" w:cs="Times New Roman"/>
        </w:rPr>
        <w:t xml:space="preserve">ommittee to ask questions, </w:t>
      </w:r>
      <w:r w:rsidR="0006074A">
        <w:rPr>
          <w:rFonts w:ascii="Times New Roman" w:hAnsi="Times New Roman" w:cs="Times New Roman"/>
        </w:rPr>
        <w:t xml:space="preserve">on either the focus of my written testimony or </w:t>
      </w:r>
      <w:r w:rsidR="00A909C5">
        <w:rPr>
          <w:rFonts w:ascii="Times New Roman" w:hAnsi="Times New Roman" w:cs="Times New Roman"/>
        </w:rPr>
        <w:t xml:space="preserve">the broader array of issues surrounding this important topic. </w:t>
      </w:r>
      <w:r w:rsidRPr="001C6109">
        <w:rPr>
          <w:rFonts w:ascii="Times New Roman" w:hAnsi="Times New Roman" w:cs="Times New Roman"/>
        </w:rPr>
        <w:t xml:space="preserve">I will endeavor to answer to the best of my ability. I am also more than willing to follow up later with </w:t>
      </w:r>
      <w:r w:rsidR="005C1DB8">
        <w:rPr>
          <w:rFonts w:ascii="Times New Roman" w:hAnsi="Times New Roman" w:cs="Times New Roman"/>
        </w:rPr>
        <w:t xml:space="preserve">Senators </w:t>
      </w:r>
      <w:r w:rsidRPr="001C6109">
        <w:rPr>
          <w:rFonts w:ascii="Times New Roman" w:hAnsi="Times New Roman" w:cs="Times New Roman"/>
        </w:rPr>
        <w:t>and staff.</w:t>
      </w:r>
      <w:r w:rsidR="000D3288">
        <w:rPr>
          <w:rFonts w:ascii="Times New Roman" w:hAnsi="Times New Roman" w:cs="Times New Roman"/>
        </w:rPr>
        <w:t xml:space="preserve"> Thank you for your time and your invitation.</w:t>
      </w:r>
    </w:p>
    <w:p w14:paraId="5AE6ED15" w14:textId="664C4F5D" w:rsidR="0098702A" w:rsidRPr="0098702A" w:rsidRDefault="0098702A" w:rsidP="0098702A">
      <w:pPr>
        <w:pStyle w:val="BodyText"/>
        <w:ind w:left="120" w:right="131" w:firstLine="600"/>
        <w:rPr>
          <w:rFonts w:ascii="Times New Roman" w:hAnsi="Times New Roman" w:cs="Times New Roman"/>
        </w:rPr>
      </w:pPr>
    </w:p>
    <w:p w14:paraId="7321CF87" w14:textId="04869D80" w:rsidR="0062595A" w:rsidRPr="009F3E28" w:rsidRDefault="0062595A" w:rsidP="009F3E28">
      <w:pPr>
        <w:pStyle w:val="BodyText"/>
        <w:spacing w:after="0" w:line="259" w:lineRule="auto"/>
        <w:ind w:right="187"/>
        <w:rPr>
          <w:rFonts w:ascii="Times New Roman" w:hAnsi="Times New Roman" w:cs="Times New Roman"/>
          <w:b/>
        </w:rPr>
      </w:pPr>
    </w:p>
    <w:sectPr w:rsidR="0062595A" w:rsidRPr="009F3E28" w:rsidSect="000A1ED8">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D7C9" w14:textId="77777777" w:rsidR="00782A5F" w:rsidRDefault="00782A5F" w:rsidP="00542748">
      <w:pPr>
        <w:spacing w:after="0" w:line="240" w:lineRule="auto"/>
      </w:pPr>
      <w:r>
        <w:separator/>
      </w:r>
    </w:p>
  </w:endnote>
  <w:endnote w:type="continuationSeparator" w:id="0">
    <w:p w14:paraId="166748CC" w14:textId="77777777" w:rsidR="00782A5F" w:rsidRDefault="00782A5F" w:rsidP="0054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0B57" w14:textId="65E1718A" w:rsidR="00CA02F3" w:rsidRDefault="001633C2" w:rsidP="00CA02F3">
    <w:pPr>
      <w:pStyle w:val="Footer"/>
      <w:jc w:val="both"/>
    </w:pPr>
    <w:r>
      <w:t>Senate</w:t>
    </w:r>
    <w:r w:rsidR="00CA02F3">
      <w:t xml:space="preserve"> Committee on </w:t>
    </w:r>
    <w:r>
      <w:t>Health, Education, Labor, and Pensions</w:t>
    </w:r>
    <w:r w:rsidR="00CA02F3">
      <w:tab/>
    </w:r>
    <w:r w:rsidR="00CA02F3">
      <w:fldChar w:fldCharType="begin"/>
    </w:r>
    <w:r w:rsidR="00CA02F3">
      <w:instrText xml:space="preserve"> PAGE   \* MERGEFORMAT </w:instrText>
    </w:r>
    <w:r w:rsidR="00CA02F3">
      <w:fldChar w:fldCharType="separate"/>
    </w:r>
    <w:r w:rsidR="00CA02F3">
      <w:rPr>
        <w:noProof/>
      </w:rPr>
      <w:t>1</w:t>
    </w:r>
    <w:r w:rsidR="00CA02F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7AE6" w14:textId="77777777" w:rsidR="00782A5F" w:rsidRDefault="00782A5F" w:rsidP="00542748">
      <w:pPr>
        <w:spacing w:after="0" w:line="240" w:lineRule="auto"/>
      </w:pPr>
      <w:r>
        <w:separator/>
      </w:r>
    </w:p>
  </w:footnote>
  <w:footnote w:type="continuationSeparator" w:id="0">
    <w:p w14:paraId="4A29FDBA" w14:textId="77777777" w:rsidR="00782A5F" w:rsidRDefault="00782A5F" w:rsidP="00542748">
      <w:pPr>
        <w:spacing w:after="0" w:line="240" w:lineRule="auto"/>
      </w:pPr>
      <w:r>
        <w:continuationSeparator/>
      </w:r>
    </w:p>
  </w:footnote>
  <w:footnote w:id="1">
    <w:p w14:paraId="069E2217" w14:textId="31BFBD43" w:rsidR="00A03A9A" w:rsidRPr="00235459" w:rsidRDefault="00A03A9A">
      <w:pPr>
        <w:pStyle w:val="FootnoteText"/>
        <w:rPr>
          <w:rFonts w:ascii="Times New Roman" w:hAnsi="Times New Roman" w:cs="Times New Roman"/>
        </w:rPr>
      </w:pPr>
      <w:r w:rsidRPr="00235459">
        <w:rPr>
          <w:rStyle w:val="FootnoteReference"/>
          <w:rFonts w:ascii="Times New Roman" w:hAnsi="Times New Roman" w:cs="Times New Roman"/>
        </w:rPr>
        <w:footnoteRef/>
      </w:r>
      <w:r w:rsidRPr="00235459">
        <w:rPr>
          <w:rFonts w:ascii="Times New Roman" w:hAnsi="Times New Roman" w:cs="Times New Roman"/>
        </w:rPr>
        <w:t xml:space="preserve"> </w:t>
      </w:r>
      <w:r w:rsidRPr="00235459">
        <w:rPr>
          <w:rFonts w:ascii="Times New Roman" w:hAnsi="Times New Roman" w:cs="Times New Roman"/>
          <w:i/>
          <w:iCs/>
        </w:rPr>
        <w:t xml:space="preserve">See </w:t>
      </w:r>
      <w:r w:rsidR="00CA1583" w:rsidRPr="00235459">
        <w:rPr>
          <w:rFonts w:ascii="Times New Roman" w:hAnsi="Times New Roman" w:cs="Times New Roman"/>
        </w:rPr>
        <w:t xml:space="preserve">Riedl, “Ten Myths Sabotaging Social Security Reform,” </w:t>
      </w:r>
      <w:r w:rsidR="00CA1583" w:rsidRPr="00235459">
        <w:rPr>
          <w:rFonts w:ascii="Times New Roman" w:hAnsi="Times New Roman" w:cs="Times New Roman"/>
          <w:i/>
          <w:iCs/>
        </w:rPr>
        <w:t>The Dispatch</w:t>
      </w:r>
      <w:r w:rsidR="00CA1583" w:rsidRPr="00235459">
        <w:rPr>
          <w:rFonts w:ascii="Times New Roman" w:hAnsi="Times New Roman" w:cs="Times New Roman"/>
        </w:rPr>
        <w:t xml:space="preserve">, Mar. 1, 2024, </w:t>
      </w:r>
      <w:r w:rsidR="00235459" w:rsidRPr="00235459">
        <w:rPr>
          <w:rFonts w:ascii="Times New Roman" w:hAnsi="Times New Roman" w:cs="Times New Roman"/>
        </w:rPr>
        <w:t>https://thedispatch.com/article/ten-myths-sabotaging-social-security-reform/.</w:t>
      </w:r>
    </w:p>
  </w:footnote>
  <w:footnote w:id="2">
    <w:p w14:paraId="03CCCE06" w14:textId="139857A6" w:rsidR="00B61DF7" w:rsidRPr="00B61DF7" w:rsidRDefault="00B61DF7">
      <w:pPr>
        <w:pStyle w:val="FootnoteText"/>
        <w:rPr>
          <w:rFonts w:ascii="Times New Roman" w:hAnsi="Times New Roman" w:cs="Times New Roman"/>
          <w:i/>
          <w:iCs/>
        </w:rPr>
      </w:pPr>
      <w:r w:rsidRPr="00B61DF7">
        <w:rPr>
          <w:rStyle w:val="FootnoteReference"/>
          <w:rFonts w:ascii="Times New Roman" w:hAnsi="Times New Roman" w:cs="Times New Roman"/>
        </w:rPr>
        <w:footnoteRef/>
      </w:r>
      <w:r w:rsidRPr="00B61DF7">
        <w:rPr>
          <w:rFonts w:ascii="Times New Roman" w:hAnsi="Times New Roman" w:cs="Times New Roman"/>
        </w:rPr>
        <w:t xml:space="preserve"> </w:t>
      </w:r>
      <w:r w:rsidRPr="00B61DF7">
        <w:rPr>
          <w:rFonts w:ascii="Times New Roman" w:hAnsi="Times New Roman" w:cs="Times New Roman"/>
          <w:i/>
          <w:iCs/>
        </w:rPr>
        <w:t>Id.</w:t>
      </w:r>
    </w:p>
  </w:footnote>
  <w:footnote w:id="3">
    <w:p w14:paraId="0A72E71F" w14:textId="050D2765" w:rsidR="00480870" w:rsidRPr="005961BE" w:rsidRDefault="00480870">
      <w:pPr>
        <w:pStyle w:val="FootnoteText"/>
        <w:rPr>
          <w:rFonts w:ascii="Times New Roman" w:hAnsi="Times New Roman" w:cs="Times New Roman"/>
        </w:rPr>
      </w:pPr>
      <w:r w:rsidRPr="005961BE">
        <w:rPr>
          <w:rStyle w:val="FootnoteReference"/>
          <w:rFonts w:ascii="Times New Roman" w:hAnsi="Times New Roman" w:cs="Times New Roman"/>
        </w:rPr>
        <w:footnoteRef/>
      </w:r>
      <w:r w:rsidRPr="005961BE">
        <w:rPr>
          <w:rFonts w:ascii="Times New Roman" w:hAnsi="Times New Roman" w:cs="Times New Roman"/>
        </w:rPr>
        <w:t xml:space="preserve"> </w:t>
      </w:r>
      <w:r w:rsidR="00133F14" w:rsidRPr="005961BE">
        <w:rPr>
          <w:rFonts w:ascii="Times New Roman" w:hAnsi="Times New Roman" w:cs="Times New Roman"/>
        </w:rPr>
        <w:t>U.S. Bureau of Labor Statistics, “15 Percent of Private Industry Workers Had Access to a Defined Benefit Retirement Plan,” Apr. 19, 2024,</w:t>
      </w:r>
      <w:r w:rsidR="005961BE" w:rsidRPr="005961BE">
        <w:rPr>
          <w:rFonts w:ascii="Times New Roman" w:hAnsi="Times New Roman" w:cs="Times New Roman"/>
        </w:rPr>
        <w:t xml:space="preserve"> </w:t>
      </w:r>
      <w:r w:rsidR="005961BE" w:rsidRPr="005961BE">
        <w:rPr>
          <w:rFonts w:ascii="Times New Roman" w:hAnsi="Times New Roman" w:cs="Times New Roman"/>
          <w:i/>
          <w:iCs/>
        </w:rPr>
        <w:t xml:space="preserve">available at </w:t>
      </w:r>
      <w:r w:rsidR="005961BE" w:rsidRPr="005961BE">
        <w:rPr>
          <w:rFonts w:ascii="Times New Roman" w:hAnsi="Times New Roman" w:cs="Times New Roman"/>
        </w:rPr>
        <w:t>https://www.bls.gov/opub/ted/2024/15-percent-of-private-industry-workers-had-access-to-a-defined-benefit-retirement-plan.htm.</w:t>
      </w:r>
    </w:p>
  </w:footnote>
  <w:footnote w:id="4">
    <w:p w14:paraId="1A9E687E" w14:textId="1BEE4D05" w:rsidR="00702814" w:rsidRPr="00F22B1E" w:rsidRDefault="00702814">
      <w:pPr>
        <w:pStyle w:val="FootnoteText"/>
        <w:rPr>
          <w:rFonts w:ascii="Times New Roman" w:hAnsi="Times New Roman" w:cs="Times New Roman"/>
        </w:rPr>
      </w:pPr>
      <w:r w:rsidRPr="00F22B1E">
        <w:rPr>
          <w:rStyle w:val="FootnoteReference"/>
          <w:rFonts w:ascii="Times New Roman" w:hAnsi="Times New Roman" w:cs="Times New Roman"/>
        </w:rPr>
        <w:footnoteRef/>
      </w:r>
      <w:r w:rsidRPr="00F22B1E">
        <w:rPr>
          <w:rFonts w:ascii="Times New Roman" w:hAnsi="Times New Roman" w:cs="Times New Roman"/>
        </w:rPr>
        <w:t xml:space="preserve"> </w:t>
      </w:r>
      <w:r w:rsidR="007B2155" w:rsidRPr="00F22B1E">
        <w:rPr>
          <w:rFonts w:ascii="Times New Roman" w:hAnsi="Times New Roman" w:cs="Times New Roman"/>
        </w:rPr>
        <w:t xml:space="preserve">Elizabeth A. Myers, </w:t>
      </w:r>
      <w:r w:rsidR="00D56991" w:rsidRPr="00F22B1E">
        <w:rPr>
          <w:rFonts w:ascii="Times New Roman" w:hAnsi="Times New Roman" w:cs="Times New Roman"/>
        </w:rPr>
        <w:t xml:space="preserve">Congressional Research Service, “Ownership of Retirement Accounts in 2022: Amounts in Defined Contribution Plans and Individual Retirement Accounts,” </w:t>
      </w:r>
      <w:r w:rsidR="007B2155" w:rsidRPr="00F22B1E">
        <w:rPr>
          <w:rFonts w:ascii="Times New Roman" w:hAnsi="Times New Roman" w:cs="Times New Roman"/>
        </w:rPr>
        <w:t xml:space="preserve">July 29, 2024, </w:t>
      </w:r>
      <w:r w:rsidR="007B2155" w:rsidRPr="00F22B1E">
        <w:rPr>
          <w:rFonts w:ascii="Times New Roman" w:hAnsi="Times New Roman" w:cs="Times New Roman"/>
          <w:i/>
          <w:iCs/>
        </w:rPr>
        <w:t xml:space="preserve">available at </w:t>
      </w:r>
      <w:r w:rsidR="00F22B1E" w:rsidRPr="00F22B1E">
        <w:rPr>
          <w:rFonts w:ascii="Times New Roman" w:hAnsi="Times New Roman" w:cs="Times New Roman"/>
        </w:rPr>
        <w:t>https://www.congress.gov/crs-product/R48143.</w:t>
      </w:r>
    </w:p>
  </w:footnote>
  <w:footnote w:id="5">
    <w:p w14:paraId="05F01B0A" w14:textId="48ACAD06" w:rsidR="003849AE" w:rsidRPr="003849AE" w:rsidRDefault="003849AE">
      <w:pPr>
        <w:pStyle w:val="FootnoteText"/>
        <w:rPr>
          <w:rFonts w:ascii="Times New Roman" w:hAnsi="Times New Roman" w:cs="Times New Roman"/>
          <w:i/>
          <w:iCs/>
        </w:rPr>
      </w:pPr>
      <w:r w:rsidRPr="003849AE">
        <w:rPr>
          <w:rStyle w:val="FootnoteReference"/>
          <w:rFonts w:ascii="Times New Roman" w:hAnsi="Times New Roman" w:cs="Times New Roman"/>
        </w:rPr>
        <w:footnoteRef/>
      </w:r>
      <w:r w:rsidRPr="003849AE">
        <w:rPr>
          <w:rFonts w:ascii="Times New Roman" w:hAnsi="Times New Roman" w:cs="Times New Roman"/>
        </w:rPr>
        <w:t xml:space="preserve"> </w:t>
      </w:r>
      <w:r w:rsidRPr="003849AE">
        <w:rPr>
          <w:rFonts w:ascii="Times New Roman" w:hAnsi="Times New Roman" w:cs="Times New Roman"/>
          <w:i/>
          <w:iCs/>
        </w:rPr>
        <w:t>Id.</w:t>
      </w:r>
    </w:p>
  </w:footnote>
  <w:footnote w:id="6">
    <w:p w14:paraId="48A1DF09" w14:textId="562DB712" w:rsidR="000C3780" w:rsidRPr="0030650B" w:rsidRDefault="000C3780">
      <w:pPr>
        <w:pStyle w:val="FootnoteText"/>
        <w:rPr>
          <w:rFonts w:ascii="Times New Roman" w:hAnsi="Times New Roman" w:cs="Times New Roman"/>
        </w:rPr>
      </w:pPr>
      <w:r w:rsidRPr="0030650B">
        <w:rPr>
          <w:rStyle w:val="FootnoteReference"/>
          <w:rFonts w:ascii="Times New Roman" w:hAnsi="Times New Roman" w:cs="Times New Roman"/>
        </w:rPr>
        <w:footnoteRef/>
      </w:r>
      <w:r w:rsidRPr="0030650B">
        <w:rPr>
          <w:rFonts w:ascii="Times New Roman" w:hAnsi="Times New Roman" w:cs="Times New Roman"/>
        </w:rPr>
        <w:t xml:space="preserve"> This testimony draws from my 2021 comment letter to the </w:t>
      </w:r>
      <w:r w:rsidR="00EF65A5" w:rsidRPr="0030650B">
        <w:rPr>
          <w:rFonts w:ascii="Times New Roman" w:hAnsi="Times New Roman" w:cs="Times New Roman"/>
        </w:rPr>
        <w:t xml:space="preserve">Department of Labor on </w:t>
      </w:r>
      <w:r w:rsidR="00B63BFD" w:rsidRPr="0030650B">
        <w:rPr>
          <w:rFonts w:ascii="Times New Roman" w:hAnsi="Times New Roman" w:cs="Times New Roman"/>
        </w:rPr>
        <w:t xml:space="preserve">its rulemaking modifying treatment of environmental, social, and governance </w:t>
      </w:r>
      <w:r w:rsidR="0030650B" w:rsidRPr="0030650B">
        <w:rPr>
          <w:rFonts w:ascii="Times New Roman" w:hAnsi="Times New Roman" w:cs="Times New Roman"/>
        </w:rPr>
        <w:t xml:space="preserve">(ESG) </w:t>
      </w:r>
      <w:r w:rsidR="00B63BFD" w:rsidRPr="0030650B">
        <w:rPr>
          <w:rFonts w:ascii="Times New Roman" w:hAnsi="Times New Roman" w:cs="Times New Roman"/>
        </w:rPr>
        <w:t xml:space="preserve">factors in ERISA plan </w:t>
      </w:r>
      <w:r w:rsidR="0030650B" w:rsidRPr="0030650B">
        <w:rPr>
          <w:rFonts w:ascii="Times New Roman" w:hAnsi="Times New Roman" w:cs="Times New Roman"/>
        </w:rPr>
        <w:t xml:space="preserve">management. </w:t>
      </w:r>
      <w:r w:rsidR="0030650B" w:rsidRPr="0030650B">
        <w:rPr>
          <w:rFonts w:ascii="Times New Roman" w:hAnsi="Times New Roman" w:cs="Times New Roman"/>
          <w:i/>
          <w:iCs/>
        </w:rPr>
        <w:t xml:space="preserve">See </w:t>
      </w:r>
      <w:r w:rsidR="0030650B" w:rsidRPr="0030650B">
        <w:rPr>
          <w:rFonts w:ascii="Times New Roman" w:hAnsi="Times New Roman" w:cs="Times New Roman"/>
        </w:rPr>
        <w:t xml:space="preserve">James R. Copland, Comment to the Department of Labor, RIN 1210-AC03, “Prudence and Loyalty in Selecting Plan Investments and Exercising Shareholder Rights,” Dec. 13, 2021, </w:t>
      </w:r>
      <w:r w:rsidR="0030650B" w:rsidRPr="0030650B">
        <w:rPr>
          <w:rFonts w:ascii="Times New Roman" w:hAnsi="Times New Roman" w:cs="Times New Roman"/>
          <w:i/>
          <w:iCs/>
        </w:rPr>
        <w:t>available at</w:t>
      </w:r>
      <w:r w:rsidR="0030650B" w:rsidRPr="0030650B">
        <w:rPr>
          <w:rFonts w:ascii="Times New Roman" w:hAnsi="Times New Roman" w:cs="Times New Roman"/>
        </w:rPr>
        <w:t xml:space="preserve"> https://www.dol.gov/sites/dolgov/files/EBSA/laws-and-regulations/rules-and-regulations/public-comments/1210-AC03/00793.pdf.</w:t>
      </w:r>
    </w:p>
  </w:footnote>
  <w:footnote w:id="7">
    <w:p w14:paraId="650F063F" w14:textId="59C7FC3D" w:rsidR="00381BA0" w:rsidRPr="00C65DF9" w:rsidRDefault="00381BA0" w:rsidP="00C65DF9">
      <w:pPr>
        <w:pStyle w:val="FootnoteText"/>
        <w:ind w:right="360"/>
        <w:jc w:val="both"/>
        <w:rPr>
          <w:rFonts w:ascii="Times New Roman" w:hAnsi="Times New Roman" w:cs="Times New Roman"/>
        </w:rPr>
      </w:pPr>
      <w:r>
        <w:rPr>
          <w:rStyle w:val="FootnoteReference"/>
        </w:rPr>
        <w:footnoteRef/>
      </w:r>
      <w:r>
        <w:t xml:space="preserve"> </w:t>
      </w:r>
      <w:r w:rsidR="00C65DF9" w:rsidRPr="000F43F8">
        <w:rPr>
          <w:rFonts w:ascii="Times New Roman" w:hAnsi="Times New Roman" w:cs="Times New Roman"/>
        </w:rPr>
        <w:t xml:space="preserve">Employee Retirement Income Security Act of 1974 § 404(a)(1) (emphasis added), </w:t>
      </w:r>
      <w:r w:rsidR="00C65DF9" w:rsidRPr="000F43F8">
        <w:rPr>
          <w:rFonts w:ascii="Times New Roman" w:hAnsi="Times New Roman" w:cs="Times New Roman"/>
          <w:i/>
          <w:iCs/>
        </w:rPr>
        <w:t>codified at</w:t>
      </w:r>
      <w:r w:rsidR="00C65DF9" w:rsidRPr="000F43F8">
        <w:rPr>
          <w:rFonts w:ascii="Times New Roman" w:hAnsi="Times New Roman" w:cs="Times New Roman"/>
        </w:rPr>
        <w:t xml:space="preserve"> 29 U.S.C. § 1104(a)(1).</w:t>
      </w:r>
    </w:p>
  </w:footnote>
  <w:footnote w:id="8">
    <w:p w14:paraId="70AE6618" w14:textId="0E8C8D61" w:rsidR="002B21CC" w:rsidRDefault="002B21CC">
      <w:pPr>
        <w:pStyle w:val="FootnoteText"/>
      </w:pPr>
      <w:r>
        <w:rPr>
          <w:rStyle w:val="FootnoteReference"/>
        </w:rPr>
        <w:footnoteRef/>
      </w:r>
      <w:r>
        <w:t xml:space="preserve"> </w:t>
      </w:r>
      <w:r w:rsidR="00F75FA5" w:rsidRPr="000F43F8">
        <w:rPr>
          <w:rFonts w:ascii="Times New Roman" w:hAnsi="Times New Roman" w:cs="Times New Roman"/>
          <w:i/>
          <w:iCs/>
        </w:rPr>
        <w:t>See, e.g.</w:t>
      </w:r>
      <w:r w:rsidR="00F75FA5" w:rsidRPr="000F43F8">
        <w:rPr>
          <w:rFonts w:ascii="Times New Roman" w:hAnsi="Times New Roman" w:cs="Times New Roman"/>
        </w:rPr>
        <w:t>, 59 Fed. Reg. 32606 (June 23, 1994); 73 Fed. Reg. 61731 (Oct. 17, 2008); 80 Fed. Reg. 65135 (Oct. 26, 2015); 81 Fed. Reg. 95879 (Dec. 29, 2016); 85 Fed. Reg. 39113 (June 30, 2020); 85 Fed. Reg. 55219 (Sept. 4, 2020); 85 Fed. Reg. 72846 (Nov. 13, 2020); 85 Fed. Reg. 81658 (Dec. 16, 2020); 86 Fed. Reg. 57272 (Oct. 14, 2021).</w:t>
      </w:r>
    </w:p>
  </w:footnote>
  <w:footnote w:id="9">
    <w:p w14:paraId="0DEAFD4D" w14:textId="6C8F624F" w:rsidR="00876146" w:rsidRPr="000F43F8" w:rsidRDefault="00876146" w:rsidP="00876146">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00AE454F">
        <w:rPr>
          <w:rFonts w:ascii="Times New Roman" w:hAnsi="Times New Roman" w:cs="Times New Roman"/>
          <w:i/>
          <w:iCs/>
        </w:rPr>
        <w:t xml:space="preserve">See </w:t>
      </w:r>
      <w:r w:rsidRPr="000F43F8">
        <w:rPr>
          <w:rFonts w:ascii="Times New Roman" w:hAnsi="Times New Roman" w:cs="Times New Roman"/>
        </w:rPr>
        <w:t>29 U.S.C. § 1104(a)(1)</w:t>
      </w:r>
      <w:r w:rsidR="00AE454F">
        <w:rPr>
          <w:rFonts w:ascii="Times New Roman" w:hAnsi="Times New Roman" w:cs="Times New Roman"/>
        </w:rPr>
        <w:t xml:space="preserve"> (emphasis added)</w:t>
      </w:r>
      <w:r w:rsidRPr="000F43F8">
        <w:rPr>
          <w:rFonts w:ascii="Times New Roman" w:hAnsi="Times New Roman" w:cs="Times New Roman"/>
        </w:rPr>
        <w:t>.</w:t>
      </w:r>
    </w:p>
  </w:footnote>
  <w:footnote w:id="10">
    <w:p w14:paraId="0B043942" w14:textId="77777777" w:rsidR="00876146" w:rsidRPr="000F43F8" w:rsidRDefault="00876146" w:rsidP="00876146">
      <w:pPr>
        <w:pStyle w:val="FootNote"/>
        <w:rPr>
          <w:rFonts w:ascii="Times New Roman" w:hAnsi="Times New Roman"/>
          <w:sz w:val="20"/>
        </w:rPr>
      </w:pPr>
      <w:r w:rsidRPr="00765CC7">
        <w:tab/>
      </w:r>
      <w:r w:rsidRPr="000F43F8">
        <w:rPr>
          <w:rStyle w:val="NoterefInNote"/>
          <w:rFonts w:ascii="Times New Roman" w:hAnsi="Times New Roman"/>
          <w:sz w:val="20"/>
          <w:vertAlign w:val="superscript"/>
        </w:rPr>
        <w:footnoteRef/>
      </w:r>
      <w:r w:rsidRPr="000F43F8">
        <w:rPr>
          <w:rFonts w:ascii="Times New Roman" w:hAnsi="Times New Roman"/>
          <w:sz w:val="20"/>
        </w:rPr>
        <w:t xml:space="preserve"> Fifth Third Bancorp v. Dudenhoeffer, 573 U.S. 409, 420-21 (2014).</w:t>
      </w:r>
    </w:p>
  </w:footnote>
  <w:footnote w:id="11">
    <w:p w14:paraId="3C155AFD" w14:textId="14373454" w:rsidR="00876146" w:rsidRPr="000F43F8" w:rsidRDefault="00876146" w:rsidP="00876146">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Pr>
          <w:rFonts w:ascii="Times New Roman" w:hAnsi="Times New Roman" w:cs="Times New Roman"/>
        </w:rPr>
        <w:t xml:space="preserve">ERISA, </w:t>
      </w:r>
      <w:r w:rsidRPr="000F43F8">
        <w:rPr>
          <w:rFonts w:ascii="Times New Roman" w:hAnsi="Times New Roman" w:cs="Times New Roman"/>
          <w:i/>
          <w:iCs/>
        </w:rPr>
        <w:t>supra</w:t>
      </w:r>
      <w:r>
        <w:rPr>
          <w:rFonts w:ascii="Times New Roman" w:hAnsi="Times New Roman" w:cs="Times New Roman"/>
        </w:rPr>
        <w:t xml:space="preserve"> note </w:t>
      </w:r>
      <w:r w:rsidR="00441C72">
        <w:rPr>
          <w:rFonts w:ascii="Times New Roman" w:hAnsi="Times New Roman" w:cs="Times New Roman"/>
        </w:rPr>
        <w:t>7</w:t>
      </w:r>
      <w:r>
        <w:rPr>
          <w:rFonts w:ascii="Times New Roman" w:hAnsi="Times New Roman" w:cs="Times New Roman"/>
        </w:rPr>
        <w:t xml:space="preserve">, </w:t>
      </w:r>
      <w:r w:rsidRPr="000F43F8">
        <w:rPr>
          <w:rFonts w:ascii="Times New Roman" w:hAnsi="Times New Roman" w:cs="Times New Roman"/>
        </w:rPr>
        <w:t>at 1104(a)(1)(A) (emphasis added).</w:t>
      </w:r>
    </w:p>
  </w:footnote>
  <w:footnote w:id="12">
    <w:p w14:paraId="1A5076BA" w14:textId="241D9E09" w:rsidR="00876146" w:rsidRPr="000F43F8" w:rsidRDefault="00876146" w:rsidP="00DF6B5E">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For a description of “collateral benefits ESG” versus “risk-return ESG” investing, see Max M. Schanzenbach &amp; Robert H. Sitkoff, </w:t>
      </w:r>
      <w:r w:rsidR="00C1795D">
        <w:rPr>
          <w:rFonts w:ascii="Times New Roman" w:hAnsi="Times New Roman" w:cs="Times New Roman"/>
        </w:rPr>
        <w:t>“</w:t>
      </w:r>
      <w:r w:rsidRPr="00C1795D">
        <w:rPr>
          <w:rFonts w:ascii="Times New Roman" w:hAnsi="Times New Roman" w:cs="Times New Roman"/>
          <w:iCs/>
        </w:rPr>
        <w:t>Reconciling Fiduciary Duty and Social Conscience: The Law and Economics of ESG Investing by a Trustee</w:t>
      </w:r>
      <w:r w:rsidRPr="000F43F8">
        <w:rPr>
          <w:rFonts w:ascii="Times New Roman" w:hAnsi="Times New Roman" w:cs="Times New Roman"/>
        </w:rPr>
        <w:t>,</w:t>
      </w:r>
      <w:r w:rsidR="00C1795D">
        <w:rPr>
          <w:rFonts w:ascii="Times New Roman" w:hAnsi="Times New Roman" w:cs="Times New Roman"/>
        </w:rPr>
        <w:t>”</w:t>
      </w:r>
      <w:r w:rsidRPr="000F43F8">
        <w:rPr>
          <w:rFonts w:ascii="Times New Roman" w:hAnsi="Times New Roman" w:cs="Times New Roman"/>
        </w:rPr>
        <w:t xml:space="preserve"> 72 </w:t>
      </w:r>
      <w:r w:rsidRPr="00C1795D">
        <w:rPr>
          <w:rFonts w:ascii="Times New Roman" w:hAnsi="Times New Roman" w:cs="Times New Roman"/>
          <w:i/>
          <w:iCs/>
        </w:rPr>
        <w:t>Stan. L. Rev</w:t>
      </w:r>
      <w:r w:rsidRPr="000F43F8">
        <w:rPr>
          <w:rFonts w:ascii="Times New Roman" w:hAnsi="Times New Roman" w:cs="Times New Roman"/>
          <w:smallCaps/>
        </w:rPr>
        <w:t>.</w:t>
      </w:r>
      <w:r w:rsidRPr="000F43F8">
        <w:rPr>
          <w:rFonts w:ascii="Times New Roman" w:hAnsi="Times New Roman" w:cs="Times New Roman"/>
        </w:rPr>
        <w:t xml:space="preserve"> 381, 382 (2020). For a discussion about how this dichotomy should be applied in terms of ERISA fiduciary duties, see Bernard S. Sharfman, </w:t>
      </w:r>
      <w:r w:rsidR="00C1795D">
        <w:rPr>
          <w:rFonts w:ascii="Times New Roman" w:hAnsi="Times New Roman" w:cs="Times New Roman"/>
        </w:rPr>
        <w:t>“</w:t>
      </w:r>
      <w:r w:rsidRPr="00C1795D">
        <w:rPr>
          <w:rFonts w:ascii="Times New Roman" w:hAnsi="Times New Roman" w:cs="Times New Roman"/>
        </w:rPr>
        <w:t>ESG Investing Under ERISA</w:t>
      </w:r>
      <w:r w:rsidRPr="000F43F8">
        <w:rPr>
          <w:rFonts w:ascii="Times New Roman" w:hAnsi="Times New Roman" w:cs="Times New Roman"/>
        </w:rPr>
        <w:t>,</w:t>
      </w:r>
      <w:r w:rsidR="00C1795D">
        <w:rPr>
          <w:rFonts w:ascii="Times New Roman" w:hAnsi="Times New Roman" w:cs="Times New Roman"/>
        </w:rPr>
        <w:t>”</w:t>
      </w:r>
      <w:r w:rsidRPr="000F43F8">
        <w:rPr>
          <w:rFonts w:ascii="Times New Roman" w:hAnsi="Times New Roman" w:cs="Times New Roman"/>
        </w:rPr>
        <w:t xml:space="preserve"> 38 </w:t>
      </w:r>
      <w:r w:rsidRPr="00C1795D">
        <w:rPr>
          <w:rFonts w:ascii="Times New Roman" w:hAnsi="Times New Roman" w:cs="Times New Roman"/>
          <w:i/>
          <w:iCs/>
        </w:rPr>
        <w:t>Yale J. Reg. Bull</w:t>
      </w:r>
      <w:r w:rsidRPr="000F43F8">
        <w:rPr>
          <w:rFonts w:ascii="Times New Roman" w:hAnsi="Times New Roman" w:cs="Times New Roman"/>
        </w:rPr>
        <w:t>. 112, 117–19 (2020), https://digitalcommons.law.yale.edu/jregonline/6.</w:t>
      </w:r>
    </w:p>
  </w:footnote>
  <w:footnote w:id="13">
    <w:p w14:paraId="1EBDED96" w14:textId="5F23C6A4" w:rsidR="004515F0" w:rsidRPr="000F43F8" w:rsidRDefault="004515F0" w:rsidP="00730DAD">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U.S. Dep’t of Labor, Financial Factors in Selecting Plan Investments, 85 Fed. Reg. 39,113 (June 30, 2020), </w:t>
      </w:r>
      <w:r w:rsidR="00C422BD">
        <w:rPr>
          <w:rFonts w:ascii="Times New Roman" w:hAnsi="Times New Roman" w:cs="Times New Roman"/>
          <w:i/>
          <w:iCs/>
        </w:rPr>
        <w:t xml:space="preserve">available at </w:t>
      </w:r>
      <w:r w:rsidRPr="000F43F8">
        <w:rPr>
          <w:rFonts w:ascii="Times New Roman" w:hAnsi="Times New Roman" w:cs="Times New Roman"/>
        </w:rPr>
        <w:t>https://www.govinfo.gov/content/pkg/FR-2020-06-30/pdf/2020-13705.pdf.</w:t>
      </w:r>
      <w:r w:rsidR="00B813B1">
        <w:rPr>
          <w:rFonts w:ascii="Times New Roman" w:hAnsi="Times New Roman" w:cs="Times New Roman"/>
        </w:rPr>
        <w:t xml:space="preserve"> T</w:t>
      </w:r>
      <w:r w:rsidR="00B813B1" w:rsidRPr="008554E9">
        <w:rPr>
          <w:rFonts w:ascii="Times New Roman" w:hAnsi="Times New Roman" w:cs="Times New Roman"/>
        </w:rPr>
        <w:t>he rule</w:t>
      </w:r>
      <w:r w:rsidR="00B813B1">
        <w:rPr>
          <w:rFonts w:ascii="Times New Roman" w:hAnsi="Times New Roman" w:cs="Times New Roman"/>
        </w:rPr>
        <w:t xml:space="preserve"> used the language </w:t>
      </w:r>
      <w:r w:rsidR="00B813B1" w:rsidRPr="008554E9">
        <w:rPr>
          <w:rFonts w:ascii="Times New Roman" w:hAnsi="Times New Roman" w:cs="Times New Roman"/>
        </w:rPr>
        <w:t xml:space="preserve">“risk-adjusted economic value” </w:t>
      </w:r>
      <w:r w:rsidR="00B813B1">
        <w:rPr>
          <w:rFonts w:ascii="Times New Roman" w:hAnsi="Times New Roman" w:cs="Times New Roman"/>
        </w:rPr>
        <w:t xml:space="preserve">rather than </w:t>
      </w:r>
      <w:r w:rsidR="00B813B1" w:rsidRPr="008554E9">
        <w:rPr>
          <w:rFonts w:ascii="Times New Roman" w:hAnsi="Times New Roman" w:cs="Times New Roman"/>
        </w:rPr>
        <w:t>“financial value</w:t>
      </w:r>
      <w:r w:rsidR="00B813B1">
        <w:rPr>
          <w:rFonts w:ascii="Times New Roman" w:hAnsi="Times New Roman" w:cs="Times New Roman"/>
        </w:rPr>
        <w:t>,</w:t>
      </w:r>
      <w:r w:rsidR="00B813B1" w:rsidRPr="008554E9">
        <w:rPr>
          <w:rFonts w:ascii="Times New Roman" w:hAnsi="Times New Roman" w:cs="Times New Roman"/>
        </w:rPr>
        <w:t xml:space="preserve">” </w:t>
      </w:r>
      <w:r w:rsidR="00B813B1">
        <w:rPr>
          <w:rFonts w:ascii="Times New Roman" w:hAnsi="Times New Roman" w:cs="Times New Roman"/>
        </w:rPr>
        <w:t xml:space="preserve">which could have created </w:t>
      </w:r>
      <w:r w:rsidR="00B813B1" w:rsidRPr="008554E9">
        <w:rPr>
          <w:rFonts w:ascii="Times New Roman" w:hAnsi="Times New Roman" w:cs="Times New Roman"/>
        </w:rPr>
        <w:t xml:space="preserve">ambiguity permitting plan managers to sneak in non-pecuniary </w:t>
      </w:r>
      <w:r w:rsidR="00B813B1">
        <w:rPr>
          <w:rFonts w:ascii="Times New Roman" w:hAnsi="Times New Roman" w:cs="Times New Roman"/>
        </w:rPr>
        <w:t xml:space="preserve">“risk” </w:t>
      </w:r>
      <w:r w:rsidR="00B813B1" w:rsidRPr="008554E9">
        <w:rPr>
          <w:rFonts w:ascii="Times New Roman" w:hAnsi="Times New Roman" w:cs="Times New Roman"/>
        </w:rPr>
        <w:t>concerns</w:t>
      </w:r>
      <w:r w:rsidR="00B813B1">
        <w:rPr>
          <w:rFonts w:ascii="Times New Roman" w:hAnsi="Times New Roman" w:cs="Times New Roman"/>
        </w:rPr>
        <w:t xml:space="preserve">. </w:t>
      </w:r>
      <w:r w:rsidR="00B813B1">
        <w:rPr>
          <w:rFonts w:ascii="Times New Roman" w:hAnsi="Times New Roman" w:cs="Times New Roman"/>
          <w:i/>
          <w:iCs/>
        </w:rPr>
        <w:t xml:space="preserve">See </w:t>
      </w:r>
      <w:r w:rsidR="00B813B1" w:rsidRPr="002B7BD0">
        <w:rPr>
          <w:rFonts w:ascii="Times New Roman" w:hAnsi="Times New Roman" w:cs="Times New Roman"/>
        </w:rPr>
        <w:t xml:space="preserve">Sharfman, </w:t>
      </w:r>
      <w:r w:rsidR="00B813B1" w:rsidRPr="002B7BD0">
        <w:rPr>
          <w:rFonts w:ascii="Times New Roman" w:hAnsi="Times New Roman" w:cs="Times New Roman"/>
          <w:i/>
          <w:iCs/>
        </w:rPr>
        <w:t>supra</w:t>
      </w:r>
      <w:r w:rsidR="00B813B1" w:rsidRPr="002B7BD0">
        <w:rPr>
          <w:rFonts w:ascii="Times New Roman" w:hAnsi="Times New Roman" w:cs="Times New Roman"/>
        </w:rPr>
        <w:t xml:space="preserve"> note </w:t>
      </w:r>
      <w:r w:rsidR="00B813B1">
        <w:rPr>
          <w:rFonts w:ascii="Times New Roman" w:hAnsi="Times New Roman" w:cs="Times New Roman"/>
        </w:rPr>
        <w:t>12</w:t>
      </w:r>
      <w:r w:rsidR="00B813B1" w:rsidRPr="002B7BD0">
        <w:rPr>
          <w:rFonts w:ascii="Times New Roman" w:hAnsi="Times New Roman" w:cs="Times New Roman"/>
        </w:rPr>
        <w:t>, at 113 &amp; n.8</w:t>
      </w:r>
    </w:p>
  </w:footnote>
  <w:footnote w:id="14">
    <w:p w14:paraId="775061A4" w14:textId="3F6B55D9" w:rsidR="004515F0" w:rsidRPr="000F43F8" w:rsidRDefault="004515F0" w:rsidP="00730DAD">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Id.</w:t>
      </w:r>
      <w:r w:rsidRPr="000F43F8">
        <w:rPr>
          <w:rFonts w:ascii="Times New Roman" w:hAnsi="Times New Roman" w:cs="Times New Roman"/>
        </w:rPr>
        <w:t xml:space="preserve"> at 116.</w:t>
      </w:r>
      <w:r w:rsidR="00B813B1" w:rsidRPr="00B813B1">
        <w:rPr>
          <w:rFonts w:ascii="Times New Roman" w:hAnsi="Times New Roman" w:cs="Times New Roman"/>
        </w:rPr>
        <w:t xml:space="preserve"> </w:t>
      </w:r>
      <w:r w:rsidR="00B813B1">
        <w:rPr>
          <w:rFonts w:ascii="Times New Roman" w:hAnsi="Times New Roman" w:cs="Times New Roman"/>
        </w:rPr>
        <w:t xml:space="preserve">The DoL also </w:t>
      </w:r>
      <w:r w:rsidR="00B813B1" w:rsidRPr="008554E9">
        <w:rPr>
          <w:rFonts w:ascii="Times New Roman" w:hAnsi="Times New Roman" w:cs="Times New Roman"/>
        </w:rPr>
        <w:t xml:space="preserve">should </w:t>
      </w:r>
      <w:r w:rsidR="00B813B1">
        <w:rPr>
          <w:rFonts w:ascii="Times New Roman" w:hAnsi="Times New Roman" w:cs="Times New Roman"/>
        </w:rPr>
        <w:t xml:space="preserve">not have allowed a </w:t>
      </w:r>
      <w:r w:rsidR="00B813B1" w:rsidRPr="008554E9">
        <w:rPr>
          <w:rFonts w:ascii="Times New Roman" w:hAnsi="Times New Roman" w:cs="Times New Roman"/>
        </w:rPr>
        <w:t xml:space="preserve">“tie breaker” or “all things being equal” standard, which </w:t>
      </w:r>
      <w:r w:rsidR="00B813B1">
        <w:rPr>
          <w:rFonts w:ascii="Times New Roman" w:hAnsi="Times New Roman" w:cs="Times New Roman"/>
        </w:rPr>
        <w:t xml:space="preserve">might </w:t>
      </w:r>
      <w:r w:rsidR="00B813B1" w:rsidRPr="008554E9">
        <w:rPr>
          <w:rFonts w:ascii="Times New Roman" w:hAnsi="Times New Roman" w:cs="Times New Roman"/>
        </w:rPr>
        <w:t>allow plan managers principally motivated by collateral concerns to sneak in financially imprudent investment decisions under the guise of apparent but nonexistent equipoise</w:t>
      </w:r>
      <w:r w:rsidR="00B813B1">
        <w:rPr>
          <w:rFonts w:ascii="Times New Roman" w:hAnsi="Times New Roman" w:cs="Times New Roman"/>
        </w:rPr>
        <w:t xml:space="preserve">. </w:t>
      </w:r>
      <w:r w:rsidR="00B813B1">
        <w:rPr>
          <w:rFonts w:ascii="Times New Roman" w:hAnsi="Times New Roman" w:cs="Times New Roman"/>
          <w:i/>
          <w:iCs/>
        </w:rPr>
        <w:t xml:space="preserve">See </w:t>
      </w:r>
      <w:r w:rsidR="00B813B1" w:rsidRPr="002B7BD0">
        <w:rPr>
          <w:rFonts w:ascii="Times New Roman" w:hAnsi="Times New Roman" w:cs="Times New Roman"/>
        </w:rPr>
        <w:t xml:space="preserve">Sharfman, </w:t>
      </w:r>
      <w:r w:rsidR="00B813B1" w:rsidRPr="002B7BD0">
        <w:rPr>
          <w:rFonts w:ascii="Times New Roman" w:hAnsi="Times New Roman" w:cs="Times New Roman"/>
          <w:i/>
          <w:iCs/>
        </w:rPr>
        <w:t>supra</w:t>
      </w:r>
      <w:r w:rsidR="00B813B1" w:rsidRPr="002B7BD0">
        <w:rPr>
          <w:rFonts w:ascii="Times New Roman" w:hAnsi="Times New Roman" w:cs="Times New Roman"/>
        </w:rPr>
        <w:t xml:space="preserve"> note </w:t>
      </w:r>
      <w:r w:rsidR="00B813B1">
        <w:rPr>
          <w:rFonts w:ascii="Times New Roman" w:hAnsi="Times New Roman" w:cs="Times New Roman"/>
        </w:rPr>
        <w:t>12</w:t>
      </w:r>
      <w:r w:rsidR="00B813B1" w:rsidRPr="002B7BD0">
        <w:rPr>
          <w:rFonts w:ascii="Times New Roman" w:hAnsi="Times New Roman" w:cs="Times New Roman"/>
        </w:rPr>
        <w:t xml:space="preserve">, at </w:t>
      </w:r>
      <w:r w:rsidR="00B813B1">
        <w:rPr>
          <w:rFonts w:ascii="Times New Roman" w:hAnsi="Times New Roman" w:cs="Times New Roman"/>
        </w:rPr>
        <w:t>130–31.</w:t>
      </w:r>
    </w:p>
  </w:footnote>
  <w:footnote w:id="15">
    <w:p w14:paraId="61BEBBB9" w14:textId="13C9458E" w:rsidR="004515F0" w:rsidRPr="004F0C4E" w:rsidRDefault="004515F0" w:rsidP="004515F0">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Id.</w:t>
      </w:r>
      <w:r w:rsidR="001633C2">
        <w:rPr>
          <w:rFonts w:ascii="Times New Roman" w:hAnsi="Times New Roman" w:cs="Times New Roman"/>
          <w:i/>
          <w:iCs/>
        </w:rPr>
        <w:t xml:space="preserve"> </w:t>
      </w:r>
    </w:p>
  </w:footnote>
  <w:footnote w:id="16">
    <w:p w14:paraId="00B3C7EC" w14:textId="7A61A618" w:rsidR="00C422BD" w:rsidRPr="001278BA" w:rsidRDefault="00C422BD">
      <w:pPr>
        <w:pStyle w:val="FootnoteText"/>
        <w:rPr>
          <w:rFonts w:ascii="Times New Roman" w:hAnsi="Times New Roman" w:cs="Times New Roman"/>
        </w:rPr>
      </w:pPr>
      <w:r w:rsidRPr="001278BA">
        <w:rPr>
          <w:rStyle w:val="FootnoteReference"/>
          <w:rFonts w:ascii="Times New Roman" w:hAnsi="Times New Roman" w:cs="Times New Roman"/>
        </w:rPr>
        <w:footnoteRef/>
      </w:r>
      <w:r w:rsidRPr="001278BA">
        <w:rPr>
          <w:rFonts w:ascii="Times New Roman" w:hAnsi="Times New Roman" w:cs="Times New Roman"/>
        </w:rPr>
        <w:t xml:space="preserve"> U.S. Dep’t of Labor, Prudence and Loyalty in Selecting Plan Investments and Exercising Shareholder Rights, 86 Fed. Reg. 57272 (Oct. 14, 2021), </w:t>
      </w:r>
      <w:r w:rsidRPr="001278BA">
        <w:rPr>
          <w:rFonts w:ascii="Times New Roman" w:hAnsi="Times New Roman" w:cs="Times New Roman"/>
          <w:i/>
          <w:iCs/>
        </w:rPr>
        <w:t xml:space="preserve">available at </w:t>
      </w:r>
      <w:r w:rsidR="00FA0157" w:rsidRPr="001278BA">
        <w:rPr>
          <w:rFonts w:ascii="Times New Roman" w:hAnsi="Times New Roman" w:cs="Times New Roman"/>
        </w:rPr>
        <w:t>https://www.federalregister.gov/documents/2021/10/14/2021-22263/prudence-and-loyalty-in-selecting-plan-investments-and-exercising-shareholder-rights.</w:t>
      </w:r>
    </w:p>
  </w:footnote>
  <w:footnote w:id="17">
    <w:p w14:paraId="7F63333C" w14:textId="52C2429A" w:rsidR="00A108D8" w:rsidRPr="00D932DE" w:rsidRDefault="00A108D8" w:rsidP="00A3759C">
      <w:pPr>
        <w:pStyle w:val="FootnoteText"/>
        <w:rPr>
          <w:rFonts w:ascii="Times New Roman" w:hAnsi="Times New Roman" w:cs="Times New Roman"/>
        </w:rPr>
      </w:pPr>
      <w:r w:rsidRPr="00D932DE">
        <w:rPr>
          <w:rStyle w:val="FootnoteReference"/>
          <w:rFonts w:ascii="Times New Roman" w:hAnsi="Times New Roman" w:cs="Times New Roman"/>
        </w:rPr>
        <w:footnoteRef/>
      </w:r>
      <w:r w:rsidRPr="00D932DE">
        <w:rPr>
          <w:rFonts w:ascii="Times New Roman" w:hAnsi="Times New Roman" w:cs="Times New Roman"/>
        </w:rPr>
        <w:t xml:space="preserve"> </w:t>
      </w:r>
      <w:r w:rsidR="003918AC" w:rsidRPr="00D932DE">
        <w:rPr>
          <w:rFonts w:ascii="Times New Roman" w:hAnsi="Times New Roman" w:cs="Times New Roman"/>
          <w:i/>
          <w:iCs/>
        </w:rPr>
        <w:t>See id.</w:t>
      </w:r>
      <w:r w:rsidR="00D932DE" w:rsidRPr="00D932DE">
        <w:rPr>
          <w:rFonts w:ascii="Times New Roman" w:hAnsi="Times New Roman" w:cs="Times New Roman"/>
        </w:rPr>
        <w:t xml:space="preserve">; </w:t>
      </w:r>
      <w:r w:rsidR="00D932DE" w:rsidRPr="00D932DE">
        <w:rPr>
          <w:rFonts w:ascii="Times New Roman" w:hAnsi="Times New Roman" w:cs="Times New Roman"/>
          <w:i/>
          <w:iCs/>
        </w:rPr>
        <w:t xml:space="preserve">see also </w:t>
      </w:r>
      <w:r w:rsidR="00D932DE" w:rsidRPr="00D932DE">
        <w:rPr>
          <w:rFonts w:ascii="Times New Roman" w:hAnsi="Times New Roman" w:cs="Times New Roman"/>
        </w:rPr>
        <w:t xml:space="preserve">Copland, </w:t>
      </w:r>
      <w:r w:rsidR="00D932DE" w:rsidRPr="00D932DE">
        <w:rPr>
          <w:rFonts w:ascii="Times New Roman" w:hAnsi="Times New Roman" w:cs="Times New Roman"/>
          <w:i/>
          <w:iCs/>
        </w:rPr>
        <w:t xml:space="preserve">supra </w:t>
      </w:r>
      <w:r w:rsidR="00D932DE" w:rsidRPr="00D932DE">
        <w:rPr>
          <w:rFonts w:ascii="Times New Roman" w:hAnsi="Times New Roman" w:cs="Times New Roman"/>
        </w:rPr>
        <w:t>note 6.</w:t>
      </w:r>
    </w:p>
  </w:footnote>
  <w:footnote w:id="18">
    <w:p w14:paraId="3645276C" w14:textId="430D86F7" w:rsidR="00057D45" w:rsidRPr="000F43F8" w:rsidRDefault="00057D45" w:rsidP="00A3759C">
      <w:pPr>
        <w:pStyle w:val="FootnoteText"/>
        <w:ind w:right="360"/>
        <w:rPr>
          <w:rFonts w:ascii="Times New Roman" w:hAnsi="Times New Roman" w:cs="Times New Roman"/>
          <w:i/>
          <w:iCs/>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0F43F8">
        <w:rPr>
          <w:rFonts w:ascii="Times New Roman" w:hAnsi="Times New Roman" w:cs="Times New Roman"/>
        </w:rPr>
        <w:t xml:space="preserve">Bradford Cornell &amp; Aswath Damodaran, </w:t>
      </w:r>
      <w:r w:rsidRPr="00A3759C">
        <w:rPr>
          <w:rFonts w:ascii="Times New Roman" w:hAnsi="Times New Roman" w:cs="Times New Roman"/>
        </w:rPr>
        <w:t>Valuing ESG: Doing Good or Sounding Good?</w:t>
      </w:r>
      <w:r w:rsidRPr="000F43F8">
        <w:rPr>
          <w:rFonts w:ascii="Times New Roman" w:hAnsi="Times New Roman" w:cs="Times New Roman"/>
        </w:rPr>
        <w:t xml:space="preserve"> (Mar. 20, 2020), </w:t>
      </w:r>
      <w:r w:rsidRPr="000F43F8">
        <w:rPr>
          <w:rFonts w:ascii="Times New Roman" w:hAnsi="Times New Roman" w:cs="Times New Roman"/>
          <w:i/>
          <w:iCs/>
        </w:rPr>
        <w:t xml:space="preserve">available at </w:t>
      </w:r>
      <w:r w:rsidRPr="000F43F8">
        <w:rPr>
          <w:rFonts w:ascii="Times New Roman" w:hAnsi="Times New Roman" w:cs="Times New Roman"/>
        </w:rPr>
        <w:t>https://papers.ssrn.com/sol3/papers.cfm?abstract_id=3557432 (citing TIAA-CREF Annual Report, 2017, p. 34)</w:t>
      </w:r>
      <w:r w:rsidRPr="000F43F8">
        <w:rPr>
          <w:rFonts w:ascii="Times New Roman" w:hAnsi="Times New Roman" w:cs="Times New Roman"/>
          <w:i/>
          <w:iCs/>
        </w:rPr>
        <w:t xml:space="preserve"> </w:t>
      </w:r>
      <w:r w:rsidRPr="000F43F8">
        <w:rPr>
          <w:rFonts w:ascii="Times New Roman" w:hAnsi="Times New Roman" w:cs="Times New Roman"/>
        </w:rPr>
        <w:t>(observing that “a constrained optimum can, at best, match an unconstrained one, and most of the time, the constraint will create a cost”).</w:t>
      </w:r>
    </w:p>
  </w:footnote>
  <w:footnote w:id="19">
    <w:p w14:paraId="7B56281E" w14:textId="77777777"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Cf. </w:t>
      </w:r>
      <w:r w:rsidRPr="000F43F8">
        <w:rPr>
          <w:rFonts w:ascii="Times New Roman" w:hAnsi="Times New Roman" w:cs="Times New Roman"/>
        </w:rPr>
        <w:t>Basic v. Levinson, 485 U.S. 224, 247 &amp; n.24 (1988) (discussing efficient-market hypothesis).</w:t>
      </w:r>
    </w:p>
  </w:footnote>
  <w:footnote w:id="20">
    <w:p w14:paraId="334E126B" w14:textId="36372DCA"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0F43F8">
        <w:rPr>
          <w:rFonts w:ascii="Times New Roman" w:hAnsi="Times New Roman" w:cs="Times New Roman"/>
        </w:rPr>
        <w:t xml:space="preserve">Schanzenbach &amp; Sitkoff, </w:t>
      </w:r>
      <w:r w:rsidRPr="000F43F8">
        <w:rPr>
          <w:rFonts w:ascii="Times New Roman" w:hAnsi="Times New Roman" w:cs="Times New Roman"/>
          <w:i/>
          <w:iCs/>
        </w:rPr>
        <w:t xml:space="preserve">supra </w:t>
      </w:r>
      <w:r w:rsidRPr="000F43F8">
        <w:rPr>
          <w:rFonts w:ascii="Times New Roman" w:hAnsi="Times New Roman" w:cs="Times New Roman"/>
        </w:rPr>
        <w:t xml:space="preserve">note </w:t>
      </w:r>
      <w:r w:rsidR="00140C59">
        <w:rPr>
          <w:rFonts w:ascii="Times New Roman" w:hAnsi="Times New Roman" w:cs="Times New Roman"/>
        </w:rPr>
        <w:t>12</w:t>
      </w:r>
      <w:r w:rsidRPr="000F43F8">
        <w:rPr>
          <w:rFonts w:ascii="Times New Roman" w:hAnsi="Times New Roman" w:cs="Times New Roman"/>
        </w:rPr>
        <w:t>, at 437–39.</w:t>
      </w:r>
    </w:p>
  </w:footnote>
  <w:footnote w:id="21">
    <w:p w14:paraId="55254EBD" w14:textId="77777777"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Id.</w:t>
      </w:r>
      <w:r w:rsidRPr="000F43F8">
        <w:rPr>
          <w:rFonts w:ascii="Times New Roman" w:hAnsi="Times New Roman" w:cs="Times New Roman"/>
        </w:rPr>
        <w:t xml:space="preserve"> at 397.</w:t>
      </w:r>
    </w:p>
  </w:footnote>
  <w:footnote w:id="22">
    <w:p w14:paraId="134A8786" w14:textId="77777777"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Id.</w:t>
      </w:r>
    </w:p>
  </w:footnote>
  <w:footnote w:id="23">
    <w:p w14:paraId="2D3DD182" w14:textId="77777777"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Id. </w:t>
      </w:r>
      <w:r w:rsidRPr="000F43F8">
        <w:rPr>
          <w:rFonts w:ascii="Times New Roman" w:hAnsi="Times New Roman" w:cs="Times New Roman"/>
        </w:rPr>
        <w:t xml:space="preserve"> at 386.</w:t>
      </w:r>
    </w:p>
  </w:footnote>
  <w:footnote w:id="24">
    <w:p w14:paraId="379B3A0D" w14:textId="170D84C1" w:rsidR="009D786F" w:rsidRPr="000F43F8" w:rsidRDefault="009D786F" w:rsidP="009D786F">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0F43F8">
        <w:rPr>
          <w:rFonts w:ascii="Times New Roman" w:hAnsi="Times New Roman" w:cs="Times New Roman"/>
        </w:rPr>
        <w:t xml:space="preserve">Sharfman, </w:t>
      </w:r>
      <w:r w:rsidRPr="000F43F8">
        <w:rPr>
          <w:rFonts w:ascii="Times New Roman" w:hAnsi="Times New Roman" w:cs="Times New Roman"/>
          <w:i/>
          <w:iCs/>
        </w:rPr>
        <w:t xml:space="preserve">supra </w:t>
      </w:r>
      <w:r w:rsidRPr="000F43F8">
        <w:rPr>
          <w:rFonts w:ascii="Times New Roman" w:hAnsi="Times New Roman" w:cs="Times New Roman"/>
        </w:rPr>
        <w:t xml:space="preserve">note </w:t>
      </w:r>
      <w:r w:rsidR="00140C59">
        <w:rPr>
          <w:rFonts w:ascii="Times New Roman" w:hAnsi="Times New Roman" w:cs="Times New Roman"/>
        </w:rPr>
        <w:t>12</w:t>
      </w:r>
      <w:r w:rsidRPr="000F43F8">
        <w:rPr>
          <w:rFonts w:ascii="Times New Roman" w:hAnsi="Times New Roman" w:cs="Times New Roman"/>
        </w:rPr>
        <w:t>, at 120–21.</w:t>
      </w:r>
    </w:p>
  </w:footnote>
  <w:footnote w:id="25">
    <w:p w14:paraId="590EC5AF" w14:textId="77AF55E4" w:rsidR="009D786F" w:rsidRPr="000F43F8" w:rsidRDefault="009D786F" w:rsidP="008A085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Schanzenbach &amp; Sitkoff, </w:t>
      </w:r>
      <w:r w:rsidRPr="000F43F8">
        <w:rPr>
          <w:rFonts w:ascii="Times New Roman" w:hAnsi="Times New Roman" w:cs="Times New Roman"/>
          <w:i/>
          <w:iCs/>
        </w:rPr>
        <w:t xml:space="preserve">supra </w:t>
      </w:r>
      <w:r w:rsidRPr="000F43F8">
        <w:rPr>
          <w:rFonts w:ascii="Times New Roman" w:hAnsi="Times New Roman" w:cs="Times New Roman"/>
        </w:rPr>
        <w:t xml:space="preserve">note </w:t>
      </w:r>
      <w:r w:rsidR="00140C59">
        <w:rPr>
          <w:rFonts w:ascii="Times New Roman" w:hAnsi="Times New Roman" w:cs="Times New Roman"/>
        </w:rPr>
        <w:t>12</w:t>
      </w:r>
      <w:r w:rsidRPr="000F43F8">
        <w:rPr>
          <w:rFonts w:ascii="Times New Roman" w:hAnsi="Times New Roman" w:cs="Times New Roman"/>
        </w:rPr>
        <w:t>, at 440 (citing Benjamin R. Auer &amp; Frank Schuhmacher,</w:t>
      </w:r>
      <w:r w:rsidRPr="00C1795D">
        <w:rPr>
          <w:rFonts w:ascii="Times New Roman" w:hAnsi="Times New Roman" w:cs="Times New Roman"/>
        </w:rPr>
        <w:t xml:space="preserve"> </w:t>
      </w:r>
      <w:r w:rsidR="00C1795D">
        <w:rPr>
          <w:rFonts w:ascii="Times New Roman" w:hAnsi="Times New Roman" w:cs="Times New Roman"/>
        </w:rPr>
        <w:t>“</w:t>
      </w:r>
      <w:r w:rsidRPr="00C1795D">
        <w:rPr>
          <w:rFonts w:ascii="Times New Roman" w:hAnsi="Times New Roman" w:cs="Times New Roman"/>
        </w:rPr>
        <w:t>Do Socially (Ir)responsible Investments Pay? New Evidence from International ESG Data</w:t>
      </w:r>
      <w:r w:rsidRPr="000F43F8">
        <w:rPr>
          <w:rFonts w:ascii="Times New Roman" w:hAnsi="Times New Roman" w:cs="Times New Roman"/>
        </w:rPr>
        <w:t>,</w:t>
      </w:r>
      <w:r w:rsidR="00C1795D">
        <w:rPr>
          <w:rFonts w:ascii="Times New Roman" w:hAnsi="Times New Roman" w:cs="Times New Roman"/>
        </w:rPr>
        <w:t>”</w:t>
      </w:r>
      <w:r w:rsidRPr="000F43F8">
        <w:rPr>
          <w:rFonts w:ascii="Times New Roman" w:hAnsi="Times New Roman" w:cs="Times New Roman"/>
        </w:rPr>
        <w:t xml:space="preserve"> 59 </w:t>
      </w:r>
      <w:r w:rsidRPr="00C1795D">
        <w:rPr>
          <w:rFonts w:ascii="Times New Roman" w:hAnsi="Times New Roman" w:cs="Times New Roman"/>
          <w:i/>
          <w:iCs/>
        </w:rPr>
        <w:t>Q. Rev. Econ. &amp; Fin</w:t>
      </w:r>
      <w:r w:rsidRPr="000F43F8">
        <w:rPr>
          <w:rFonts w:ascii="Times New Roman" w:hAnsi="Times New Roman" w:cs="Times New Roman"/>
          <w:smallCaps/>
        </w:rPr>
        <w:t>.</w:t>
      </w:r>
      <w:r w:rsidRPr="000F43F8">
        <w:rPr>
          <w:rFonts w:ascii="Times New Roman" w:hAnsi="Times New Roman" w:cs="Times New Roman"/>
        </w:rPr>
        <w:t xml:space="preserve"> 51, 57-60 (2016) (finding little difference between returns for high and low ESG funds in the U.S.,</w:t>
      </w:r>
      <w:r>
        <w:rPr>
          <w:rFonts w:ascii="Times New Roman" w:hAnsi="Times New Roman" w:cs="Times New Roman"/>
        </w:rPr>
        <w:t xml:space="preserve"> </w:t>
      </w:r>
      <w:r w:rsidRPr="000F43F8">
        <w:rPr>
          <w:rFonts w:ascii="Times New Roman" w:hAnsi="Times New Roman" w:cs="Times New Roman"/>
        </w:rPr>
        <w:t>though high ESG European funds tend to underperform)).</w:t>
      </w:r>
    </w:p>
  </w:footnote>
  <w:footnote w:id="26">
    <w:p w14:paraId="26C2B6EC" w14:textId="111C0DD8" w:rsidR="009D786F" w:rsidRPr="000F43F8" w:rsidRDefault="009D786F" w:rsidP="008A085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See</w:t>
      </w:r>
      <w:r w:rsidRPr="000F43F8">
        <w:rPr>
          <w:rFonts w:ascii="Times New Roman" w:hAnsi="Times New Roman" w:cs="Times New Roman"/>
        </w:rPr>
        <w:t xml:space="preserve"> Jeff Cox, </w:t>
      </w:r>
      <w:r w:rsidR="00603195">
        <w:rPr>
          <w:rFonts w:ascii="Times New Roman" w:hAnsi="Times New Roman" w:cs="Times New Roman"/>
        </w:rPr>
        <w:t>“</w:t>
      </w:r>
      <w:r w:rsidRPr="00603195">
        <w:rPr>
          <w:rFonts w:ascii="Times New Roman" w:hAnsi="Times New Roman" w:cs="Times New Roman"/>
        </w:rPr>
        <w:t>Passive Investing Automatically Tracking Indexes Now Controls Nearly Half the US Stock Market</w:t>
      </w:r>
      <w:r w:rsidRPr="000F43F8">
        <w:rPr>
          <w:rFonts w:ascii="Times New Roman" w:hAnsi="Times New Roman" w:cs="Times New Roman"/>
        </w:rPr>
        <w:t>,</w:t>
      </w:r>
      <w:r w:rsidR="00603195">
        <w:rPr>
          <w:rFonts w:ascii="Times New Roman" w:hAnsi="Times New Roman" w:cs="Times New Roman"/>
        </w:rPr>
        <w:t>”</w:t>
      </w:r>
      <w:r w:rsidRPr="000F43F8">
        <w:rPr>
          <w:rFonts w:ascii="Times New Roman" w:hAnsi="Times New Roman" w:cs="Times New Roman"/>
        </w:rPr>
        <w:t xml:space="preserve"> </w:t>
      </w:r>
      <w:r w:rsidRPr="00603195">
        <w:rPr>
          <w:rFonts w:ascii="Times New Roman" w:hAnsi="Times New Roman" w:cs="Times New Roman"/>
          <w:i/>
          <w:iCs/>
        </w:rPr>
        <w:t>CNBC.com</w:t>
      </w:r>
      <w:r w:rsidRPr="000F43F8">
        <w:rPr>
          <w:rFonts w:ascii="Times New Roman" w:hAnsi="Times New Roman" w:cs="Times New Roman"/>
        </w:rPr>
        <w:t>, Mar. 19, 2019, https://www.cnbc.com/2019/03/19/passive-investing-now-controls-nearly-half-the-us-stock-market.html.</w:t>
      </w:r>
    </w:p>
  </w:footnote>
  <w:footnote w:id="27">
    <w:p w14:paraId="16F0483D" w14:textId="648D2399" w:rsidR="009D786F" w:rsidRPr="000F43F8" w:rsidRDefault="009D786F" w:rsidP="008A085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Kenneth R. French, </w:t>
      </w:r>
      <w:r w:rsidRPr="00603195">
        <w:rPr>
          <w:rFonts w:ascii="Times New Roman" w:hAnsi="Times New Roman" w:cs="Times New Roman"/>
        </w:rPr>
        <w:t xml:space="preserve">Presidential Address, </w:t>
      </w:r>
      <w:r w:rsidR="00603195">
        <w:rPr>
          <w:rFonts w:ascii="Times New Roman" w:hAnsi="Times New Roman" w:cs="Times New Roman"/>
        </w:rPr>
        <w:t>“</w:t>
      </w:r>
      <w:r w:rsidRPr="00603195">
        <w:rPr>
          <w:rFonts w:ascii="Times New Roman" w:hAnsi="Times New Roman" w:cs="Times New Roman"/>
        </w:rPr>
        <w:t>The Cost of Active Investing</w:t>
      </w:r>
      <w:r w:rsidRPr="000F43F8">
        <w:rPr>
          <w:rFonts w:ascii="Times New Roman" w:hAnsi="Times New Roman" w:cs="Times New Roman"/>
        </w:rPr>
        <w:t>,</w:t>
      </w:r>
      <w:r w:rsidR="00603195">
        <w:rPr>
          <w:rFonts w:ascii="Times New Roman" w:hAnsi="Times New Roman" w:cs="Times New Roman"/>
        </w:rPr>
        <w:t>”</w:t>
      </w:r>
      <w:r w:rsidRPr="000F43F8">
        <w:rPr>
          <w:rFonts w:ascii="Times New Roman" w:hAnsi="Times New Roman" w:cs="Times New Roman"/>
        </w:rPr>
        <w:t xml:space="preserve"> 63 </w:t>
      </w:r>
      <w:r w:rsidRPr="00603195">
        <w:rPr>
          <w:rFonts w:ascii="Times New Roman" w:hAnsi="Times New Roman" w:cs="Times New Roman"/>
          <w:i/>
          <w:iCs/>
        </w:rPr>
        <w:t>J. Fin.</w:t>
      </w:r>
      <w:r w:rsidRPr="000F43F8">
        <w:rPr>
          <w:rFonts w:ascii="Times New Roman" w:hAnsi="Times New Roman" w:cs="Times New Roman"/>
        </w:rPr>
        <w:t xml:space="preserve"> 1537, 1561 (2008) (concluding that a passive investor from 1980 to 2006 would have beaten an active investor by sixty-seven basis points per year).</w:t>
      </w:r>
    </w:p>
  </w:footnote>
  <w:footnote w:id="28">
    <w:p w14:paraId="15ABB5C8" w14:textId="6D2958AE" w:rsidR="00D5448F" w:rsidRPr="000F43F8" w:rsidRDefault="00D5448F" w:rsidP="008A085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See, e.g.</w:t>
      </w:r>
      <w:r w:rsidRPr="000F43F8">
        <w:rPr>
          <w:rFonts w:ascii="Times New Roman" w:hAnsi="Times New Roman" w:cs="Times New Roman"/>
        </w:rPr>
        <w:t xml:space="preserve">, Lucian A. Bebchuk, Alon Brav &amp; Wei Jiang, </w:t>
      </w:r>
      <w:r w:rsidR="002B32A1">
        <w:rPr>
          <w:rFonts w:ascii="Times New Roman" w:hAnsi="Times New Roman" w:cs="Times New Roman"/>
        </w:rPr>
        <w:t>“</w:t>
      </w:r>
      <w:r w:rsidRPr="002B32A1">
        <w:rPr>
          <w:rFonts w:ascii="Times New Roman" w:hAnsi="Times New Roman" w:cs="Times New Roman"/>
        </w:rPr>
        <w:t>The Long-Term Effects of Hedge Fund Activism</w:t>
      </w:r>
      <w:r w:rsidRPr="000F43F8">
        <w:rPr>
          <w:rFonts w:ascii="Times New Roman" w:hAnsi="Times New Roman" w:cs="Times New Roman"/>
        </w:rPr>
        <w:t>,</w:t>
      </w:r>
      <w:r w:rsidR="002B32A1">
        <w:rPr>
          <w:rFonts w:ascii="Times New Roman" w:hAnsi="Times New Roman" w:cs="Times New Roman"/>
        </w:rPr>
        <w:t>”</w:t>
      </w:r>
      <w:r w:rsidRPr="000F43F8">
        <w:rPr>
          <w:rFonts w:ascii="Times New Roman" w:hAnsi="Times New Roman" w:cs="Times New Roman"/>
        </w:rPr>
        <w:t xml:space="preserve"> 115 </w:t>
      </w:r>
      <w:r w:rsidRPr="002B32A1">
        <w:rPr>
          <w:rFonts w:ascii="Times New Roman" w:hAnsi="Times New Roman" w:cs="Times New Roman"/>
          <w:i/>
          <w:iCs/>
        </w:rPr>
        <w:t>Colum. L. Rev</w:t>
      </w:r>
      <w:r w:rsidRPr="000F43F8">
        <w:rPr>
          <w:rFonts w:ascii="Times New Roman" w:hAnsi="Times New Roman" w:cs="Times New Roman"/>
        </w:rPr>
        <w:t xml:space="preserve">. 1085, 1085 (2015); Robin M. Greenwood &amp; Michael Schor, </w:t>
      </w:r>
      <w:r w:rsidR="002B32A1">
        <w:rPr>
          <w:rFonts w:ascii="Times New Roman" w:hAnsi="Times New Roman" w:cs="Times New Roman"/>
        </w:rPr>
        <w:t>“</w:t>
      </w:r>
      <w:r w:rsidRPr="002B32A1">
        <w:rPr>
          <w:rFonts w:ascii="Times New Roman" w:hAnsi="Times New Roman" w:cs="Times New Roman"/>
        </w:rPr>
        <w:t>Investor Activism and Takeovers</w:t>
      </w:r>
      <w:r w:rsidRPr="000F43F8">
        <w:rPr>
          <w:rFonts w:ascii="Times New Roman" w:hAnsi="Times New Roman" w:cs="Times New Roman"/>
        </w:rPr>
        <w:t>,</w:t>
      </w:r>
      <w:r w:rsidR="002B32A1">
        <w:rPr>
          <w:rFonts w:ascii="Times New Roman" w:hAnsi="Times New Roman" w:cs="Times New Roman"/>
        </w:rPr>
        <w:t>”</w:t>
      </w:r>
      <w:r w:rsidRPr="000F43F8">
        <w:rPr>
          <w:rFonts w:ascii="Times New Roman" w:hAnsi="Times New Roman" w:cs="Times New Roman"/>
        </w:rPr>
        <w:t xml:space="preserve"> 92 </w:t>
      </w:r>
      <w:r w:rsidRPr="002B32A1">
        <w:rPr>
          <w:rFonts w:ascii="Times New Roman" w:hAnsi="Times New Roman" w:cs="Times New Roman"/>
          <w:i/>
          <w:iCs/>
        </w:rPr>
        <w:t>J. Fin. Econ</w:t>
      </w:r>
      <w:r w:rsidRPr="000F43F8">
        <w:rPr>
          <w:rFonts w:ascii="Times New Roman" w:hAnsi="Times New Roman" w:cs="Times New Roman"/>
        </w:rPr>
        <w:t xml:space="preserve">. 362, 374 (2009); April Klein &amp; Emanuel Zur, </w:t>
      </w:r>
      <w:r w:rsidR="00127429">
        <w:rPr>
          <w:rFonts w:ascii="Times New Roman" w:hAnsi="Times New Roman" w:cs="Times New Roman"/>
        </w:rPr>
        <w:t>“</w:t>
      </w:r>
      <w:r w:rsidRPr="002B32A1">
        <w:rPr>
          <w:rFonts w:ascii="Times New Roman" w:hAnsi="Times New Roman" w:cs="Times New Roman"/>
        </w:rPr>
        <w:t>Entrepreneurial Shareholder Activism: Hedge Funds and Other Private Investors</w:t>
      </w:r>
      <w:r w:rsidRPr="000F43F8">
        <w:rPr>
          <w:rFonts w:ascii="Times New Roman" w:hAnsi="Times New Roman" w:cs="Times New Roman"/>
        </w:rPr>
        <w:t>,</w:t>
      </w:r>
      <w:r w:rsidR="002B32A1">
        <w:rPr>
          <w:rFonts w:ascii="Times New Roman" w:hAnsi="Times New Roman" w:cs="Times New Roman"/>
        </w:rPr>
        <w:t>”</w:t>
      </w:r>
      <w:r w:rsidRPr="000F43F8">
        <w:rPr>
          <w:rFonts w:ascii="Times New Roman" w:hAnsi="Times New Roman" w:cs="Times New Roman"/>
        </w:rPr>
        <w:t xml:space="preserve"> 64 </w:t>
      </w:r>
      <w:r w:rsidRPr="00127429">
        <w:rPr>
          <w:rFonts w:ascii="Times New Roman" w:hAnsi="Times New Roman" w:cs="Times New Roman"/>
          <w:i/>
          <w:iCs/>
        </w:rPr>
        <w:t>J. Fin</w:t>
      </w:r>
      <w:r w:rsidR="003758DD">
        <w:rPr>
          <w:rFonts w:ascii="Times New Roman" w:hAnsi="Times New Roman" w:cs="Times New Roman"/>
          <w:i/>
          <w:iCs/>
        </w:rPr>
        <w:t>.</w:t>
      </w:r>
      <w:r w:rsidRPr="000F43F8">
        <w:rPr>
          <w:rFonts w:ascii="Times New Roman" w:hAnsi="Times New Roman" w:cs="Times New Roman"/>
        </w:rPr>
        <w:t xml:space="preserve"> 187, 213, 217–18 (2009); Alon Brav, Wei Jang, Frank Partnoy &amp; Randall Thomas, </w:t>
      </w:r>
      <w:r w:rsidR="00127429">
        <w:rPr>
          <w:rFonts w:ascii="Times New Roman" w:hAnsi="Times New Roman" w:cs="Times New Roman"/>
        </w:rPr>
        <w:t>“</w:t>
      </w:r>
      <w:r w:rsidRPr="00127429">
        <w:rPr>
          <w:rFonts w:ascii="Times New Roman" w:hAnsi="Times New Roman" w:cs="Times New Roman"/>
        </w:rPr>
        <w:t>Hedge Fund Activism, Corporate Governance, and Firm Performance</w:t>
      </w:r>
      <w:r w:rsidRPr="000F43F8">
        <w:rPr>
          <w:rFonts w:ascii="Times New Roman" w:hAnsi="Times New Roman" w:cs="Times New Roman"/>
        </w:rPr>
        <w:t>,</w:t>
      </w:r>
      <w:r w:rsidR="00127429">
        <w:rPr>
          <w:rFonts w:ascii="Times New Roman" w:hAnsi="Times New Roman" w:cs="Times New Roman"/>
        </w:rPr>
        <w:t>”</w:t>
      </w:r>
      <w:r w:rsidRPr="000F43F8">
        <w:rPr>
          <w:rFonts w:ascii="Times New Roman" w:hAnsi="Times New Roman" w:cs="Times New Roman"/>
        </w:rPr>
        <w:t xml:space="preserve"> 63 </w:t>
      </w:r>
      <w:r w:rsidR="00127429" w:rsidRPr="00127429">
        <w:rPr>
          <w:rFonts w:ascii="Times New Roman" w:hAnsi="Times New Roman" w:cs="Times New Roman"/>
          <w:i/>
          <w:iCs/>
        </w:rPr>
        <w:t>J. Fin</w:t>
      </w:r>
      <w:r w:rsidR="003758DD">
        <w:rPr>
          <w:rFonts w:ascii="Times New Roman" w:hAnsi="Times New Roman" w:cs="Times New Roman"/>
          <w:i/>
          <w:iCs/>
        </w:rPr>
        <w:t>.</w:t>
      </w:r>
      <w:r w:rsidR="00127429" w:rsidRPr="000F43F8">
        <w:rPr>
          <w:rFonts w:ascii="Times New Roman" w:hAnsi="Times New Roman" w:cs="Times New Roman"/>
        </w:rPr>
        <w:t xml:space="preserve"> </w:t>
      </w:r>
      <w:r w:rsidRPr="000F43F8">
        <w:rPr>
          <w:rFonts w:ascii="Times New Roman" w:hAnsi="Times New Roman" w:cs="Times New Roman"/>
        </w:rPr>
        <w:t xml:space="preserve">1729, 1732 (2008); Christopher P. Clifford, </w:t>
      </w:r>
      <w:r w:rsidR="003758DD">
        <w:rPr>
          <w:rFonts w:ascii="Times New Roman" w:hAnsi="Times New Roman" w:cs="Times New Roman"/>
        </w:rPr>
        <w:t>“</w:t>
      </w:r>
      <w:r w:rsidRPr="003758DD">
        <w:rPr>
          <w:rFonts w:ascii="Times New Roman" w:hAnsi="Times New Roman" w:cs="Times New Roman"/>
        </w:rPr>
        <w:t>Value Creation or Destruction? Hedge Funds as Shareholder Activists</w:t>
      </w:r>
      <w:r w:rsidRPr="000F43F8">
        <w:rPr>
          <w:rFonts w:ascii="Times New Roman" w:hAnsi="Times New Roman" w:cs="Times New Roman"/>
        </w:rPr>
        <w:t>,</w:t>
      </w:r>
      <w:r w:rsidR="003758DD">
        <w:rPr>
          <w:rFonts w:ascii="Times New Roman" w:hAnsi="Times New Roman" w:cs="Times New Roman"/>
        </w:rPr>
        <w:t>”</w:t>
      </w:r>
      <w:r w:rsidRPr="000F43F8">
        <w:rPr>
          <w:rFonts w:ascii="Times New Roman" w:hAnsi="Times New Roman" w:cs="Times New Roman"/>
        </w:rPr>
        <w:t xml:space="preserve"> 14 </w:t>
      </w:r>
      <w:r w:rsidR="003758DD" w:rsidRPr="00127429">
        <w:rPr>
          <w:rFonts w:ascii="Times New Roman" w:hAnsi="Times New Roman" w:cs="Times New Roman"/>
          <w:i/>
          <w:iCs/>
        </w:rPr>
        <w:t xml:space="preserve">J. </w:t>
      </w:r>
      <w:r w:rsidR="003758DD">
        <w:rPr>
          <w:rFonts w:ascii="Times New Roman" w:hAnsi="Times New Roman" w:cs="Times New Roman"/>
          <w:i/>
          <w:iCs/>
        </w:rPr>
        <w:t xml:space="preserve">Corp. Fin. </w:t>
      </w:r>
      <w:r w:rsidRPr="000F43F8">
        <w:rPr>
          <w:rFonts w:ascii="Times New Roman" w:hAnsi="Times New Roman" w:cs="Times New Roman"/>
        </w:rPr>
        <w:t>323, 324 (2008).</w:t>
      </w:r>
    </w:p>
  </w:footnote>
  <w:footnote w:id="29">
    <w:p w14:paraId="77697628" w14:textId="3C36CFD8" w:rsidR="00D5448F" w:rsidRPr="000F43F8" w:rsidRDefault="00D5448F" w:rsidP="008A085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Paul Rose &amp; Bernard S. Sharfman, </w:t>
      </w:r>
      <w:r w:rsidR="008A085C">
        <w:rPr>
          <w:rFonts w:ascii="Times New Roman" w:hAnsi="Times New Roman" w:cs="Times New Roman"/>
        </w:rPr>
        <w:t>“</w:t>
      </w:r>
      <w:r w:rsidRPr="008A085C">
        <w:rPr>
          <w:rFonts w:ascii="Times New Roman" w:hAnsi="Times New Roman" w:cs="Times New Roman"/>
        </w:rPr>
        <w:t>Shareholder Activism as a Corrective Mechanism in Corporate Governance</w:t>
      </w:r>
      <w:r w:rsidRPr="000F43F8">
        <w:rPr>
          <w:rFonts w:ascii="Times New Roman" w:hAnsi="Times New Roman" w:cs="Times New Roman"/>
        </w:rPr>
        <w:t>,</w:t>
      </w:r>
      <w:r w:rsidR="008A085C">
        <w:rPr>
          <w:rFonts w:ascii="Times New Roman" w:hAnsi="Times New Roman" w:cs="Times New Roman"/>
        </w:rPr>
        <w:t>”</w:t>
      </w:r>
      <w:r w:rsidRPr="000F43F8">
        <w:rPr>
          <w:rFonts w:ascii="Times New Roman" w:hAnsi="Times New Roman" w:cs="Times New Roman"/>
        </w:rPr>
        <w:t xml:space="preserve"> 2014 </w:t>
      </w:r>
      <w:r w:rsidRPr="008A085C">
        <w:rPr>
          <w:rFonts w:ascii="Times New Roman" w:hAnsi="Times New Roman" w:cs="Times New Roman"/>
          <w:i/>
          <w:iCs/>
        </w:rPr>
        <w:t>BYU L. Rev</w:t>
      </w:r>
      <w:r w:rsidRPr="000F43F8">
        <w:rPr>
          <w:rFonts w:ascii="Times New Roman" w:hAnsi="Times New Roman" w:cs="Times New Roman"/>
          <w:smallCaps/>
        </w:rPr>
        <w:t>.</w:t>
      </w:r>
      <w:r w:rsidRPr="000F43F8">
        <w:rPr>
          <w:rFonts w:ascii="Times New Roman" w:hAnsi="Times New Roman" w:cs="Times New Roman"/>
        </w:rPr>
        <w:t xml:space="preserve"> 1015, 1034 (2014). </w:t>
      </w:r>
    </w:p>
  </w:footnote>
  <w:footnote w:id="30">
    <w:p w14:paraId="355E672A" w14:textId="0B337FA6" w:rsidR="001B5463" w:rsidRPr="000F43F8" w:rsidRDefault="001B5463" w:rsidP="001B5463">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M. Todd Henderson &amp; Dorothy Shapiro Lund, </w:t>
      </w:r>
      <w:r w:rsidR="008A085C">
        <w:rPr>
          <w:rFonts w:ascii="Times New Roman" w:hAnsi="Times New Roman" w:cs="Times New Roman"/>
        </w:rPr>
        <w:t>“</w:t>
      </w:r>
      <w:r w:rsidRPr="008A085C">
        <w:rPr>
          <w:rFonts w:ascii="Times New Roman" w:hAnsi="Times New Roman" w:cs="Times New Roman"/>
        </w:rPr>
        <w:t>Index Funds Are Great for Investors, Risky for Corporate Governance</w:t>
      </w:r>
      <w:r w:rsidRPr="000F43F8">
        <w:rPr>
          <w:rFonts w:ascii="Times New Roman" w:hAnsi="Times New Roman" w:cs="Times New Roman"/>
        </w:rPr>
        <w:t>,</w:t>
      </w:r>
      <w:r w:rsidR="008A085C">
        <w:rPr>
          <w:rFonts w:ascii="Times New Roman" w:hAnsi="Times New Roman" w:cs="Times New Roman"/>
        </w:rPr>
        <w:t>”</w:t>
      </w:r>
      <w:r w:rsidRPr="000F43F8">
        <w:rPr>
          <w:rFonts w:ascii="Times New Roman" w:hAnsi="Times New Roman" w:cs="Times New Roman"/>
        </w:rPr>
        <w:t xml:space="preserve"> </w:t>
      </w:r>
      <w:r w:rsidRPr="008A085C">
        <w:rPr>
          <w:rFonts w:ascii="Times New Roman" w:hAnsi="Times New Roman" w:cs="Times New Roman"/>
          <w:i/>
          <w:iCs/>
        </w:rPr>
        <w:t>Wall St. J</w:t>
      </w:r>
      <w:r w:rsidRPr="000F43F8">
        <w:rPr>
          <w:rFonts w:ascii="Times New Roman" w:hAnsi="Times New Roman" w:cs="Times New Roman"/>
          <w:smallCaps/>
        </w:rPr>
        <w:t>.</w:t>
      </w:r>
      <w:r w:rsidRPr="000F43F8">
        <w:rPr>
          <w:rFonts w:ascii="Times New Roman" w:hAnsi="Times New Roman" w:cs="Times New Roman"/>
        </w:rPr>
        <w:t>, June 22, 2017.</w:t>
      </w:r>
    </w:p>
  </w:footnote>
  <w:footnote w:id="31">
    <w:p w14:paraId="182DEB39" w14:textId="09BCDB90" w:rsidR="0018029E" w:rsidRPr="000F43F8" w:rsidRDefault="0018029E" w:rsidP="0018029E">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Pat Geyer, “Report on CalSTRS Meeting,” September 4–5, 2008, 5, </w:t>
      </w:r>
      <w:r w:rsidR="009B2F12">
        <w:rPr>
          <w:rFonts w:ascii="Times New Roman" w:hAnsi="Times New Roman" w:cs="Times New Roman"/>
        </w:rPr>
        <w:t>h</w:t>
      </w:r>
      <w:r w:rsidRPr="000F43F8">
        <w:rPr>
          <w:rFonts w:ascii="Times New Roman" w:hAnsi="Times New Roman" w:cs="Times New Roman"/>
        </w:rPr>
        <w:t>ttp://www.calrta.org/dbfiles/nn69mgxs9.pdf</w:t>
      </w:r>
    </w:p>
  </w:footnote>
  <w:footnote w:id="32">
    <w:p w14:paraId="34A5B443" w14:textId="77777777" w:rsidR="0018029E" w:rsidRPr="000F43F8" w:rsidRDefault="0018029E" w:rsidP="0018029E">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Chriss W. Sweet, </w:t>
      </w:r>
      <w:r>
        <w:rPr>
          <w:rFonts w:ascii="Times New Roman" w:hAnsi="Times New Roman" w:cs="Times New Roman"/>
        </w:rPr>
        <w:t>“</w:t>
      </w:r>
      <w:r w:rsidRPr="000E5DBA">
        <w:rPr>
          <w:rFonts w:ascii="Times New Roman" w:hAnsi="Times New Roman" w:cs="Times New Roman"/>
        </w:rPr>
        <w:t>CalSTRS Risks Losing Money if It Divests from Fossil Fuels,</w:t>
      </w:r>
      <w:r>
        <w:rPr>
          <w:rFonts w:ascii="Times New Roman" w:hAnsi="Times New Roman" w:cs="Times New Roman"/>
        </w:rPr>
        <w:t>”</w:t>
      </w:r>
      <w:r w:rsidRPr="000F43F8">
        <w:rPr>
          <w:rFonts w:ascii="Times New Roman" w:hAnsi="Times New Roman" w:cs="Times New Roman"/>
        </w:rPr>
        <w:t xml:space="preserve"> </w:t>
      </w:r>
      <w:r w:rsidRPr="000E5DBA">
        <w:rPr>
          <w:rFonts w:ascii="Times New Roman" w:hAnsi="Times New Roman" w:cs="Times New Roman"/>
          <w:i/>
          <w:iCs/>
        </w:rPr>
        <w:t>Breitbart</w:t>
      </w:r>
      <w:r w:rsidRPr="000F43F8">
        <w:rPr>
          <w:rFonts w:ascii="Times New Roman" w:hAnsi="Times New Roman" w:cs="Times New Roman"/>
        </w:rPr>
        <w:t>, April 7, 2015,</w:t>
      </w:r>
    </w:p>
    <w:p w14:paraId="54013DEA" w14:textId="77777777" w:rsidR="0018029E" w:rsidRPr="000F43F8" w:rsidRDefault="0018029E" w:rsidP="0018029E">
      <w:pPr>
        <w:pStyle w:val="FootnoteText"/>
        <w:ind w:right="360"/>
        <w:jc w:val="both"/>
        <w:rPr>
          <w:rFonts w:ascii="Times New Roman" w:hAnsi="Times New Roman" w:cs="Times New Roman"/>
        </w:rPr>
      </w:pPr>
      <w:r w:rsidRPr="000F43F8">
        <w:rPr>
          <w:rFonts w:ascii="Times New Roman" w:hAnsi="Times New Roman" w:cs="Times New Roman"/>
        </w:rPr>
        <w:t>http://www.breitbart.com/california/2015/04/07/calstrs-risks-losing-money-if-it-divests-from-fossil-fuels.</w:t>
      </w:r>
    </w:p>
  </w:footnote>
  <w:footnote w:id="33">
    <w:p w14:paraId="6795516A" w14:textId="77777777" w:rsidR="00EF25B6" w:rsidRPr="000F43F8" w:rsidRDefault="00EF25B6" w:rsidP="00EF25B6">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rPr>
        <w:t>See</w:t>
      </w:r>
      <w:r w:rsidRPr="000F43F8">
        <w:rPr>
          <w:rFonts w:ascii="Times New Roman" w:hAnsi="Times New Roman" w:cs="Times New Roman"/>
        </w:rPr>
        <w:t xml:space="preserve"> Tracie Woidtke, </w:t>
      </w:r>
      <w:r w:rsidRPr="009B2F12">
        <w:rPr>
          <w:rFonts w:ascii="Times New Roman" w:hAnsi="Times New Roman" w:cs="Times New Roman"/>
          <w:iCs/>
        </w:rPr>
        <w:t>Public Pension Fund Activism and Firm Value</w:t>
      </w:r>
      <w:r w:rsidRPr="000F43F8">
        <w:rPr>
          <w:rFonts w:ascii="Times New Roman" w:hAnsi="Times New Roman" w:cs="Times New Roman"/>
        </w:rPr>
        <w:t xml:space="preserve"> (Manhattan Institute 2015), </w:t>
      </w:r>
      <w:r w:rsidRPr="000F43F8">
        <w:rPr>
          <w:rFonts w:ascii="Times New Roman" w:hAnsi="Times New Roman" w:cs="Times New Roman"/>
          <w:i/>
        </w:rPr>
        <w:t>available at</w:t>
      </w:r>
      <w:r w:rsidRPr="000F43F8">
        <w:rPr>
          <w:rFonts w:ascii="Times New Roman" w:hAnsi="Times New Roman" w:cs="Times New Roman"/>
        </w:rPr>
        <w:t xml:space="preserve"> https://www.manhattan-institute.org/html/public-pension-fund-activism-and-firm-value-7871.html. </w:t>
      </w:r>
    </w:p>
  </w:footnote>
  <w:footnote w:id="34">
    <w:p w14:paraId="66613C60" w14:textId="77777777" w:rsidR="00EF25B6" w:rsidRPr="000F43F8" w:rsidRDefault="00EF25B6" w:rsidP="00EF25B6">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rPr>
        <w:t xml:space="preserve"> </w:t>
      </w:r>
      <w:r>
        <w:rPr>
          <w:rFonts w:ascii="Times New Roman" w:hAnsi="Times New Roman" w:cs="Times New Roman"/>
          <w:i/>
        </w:rPr>
        <w:t xml:space="preserve">Id. </w:t>
      </w:r>
      <w:r w:rsidRPr="000F43F8">
        <w:rPr>
          <w:rFonts w:ascii="Times New Roman" w:hAnsi="Times New Roman" w:cs="Times New Roman"/>
        </w:rPr>
        <w:t>at 16.</w:t>
      </w:r>
    </w:p>
  </w:footnote>
  <w:footnote w:id="35">
    <w:p w14:paraId="3D434BD0" w14:textId="791CF03A" w:rsidR="00DF6B5E" w:rsidRPr="000F43F8" w:rsidRDefault="00DF6B5E" w:rsidP="00907A7C">
      <w:pPr>
        <w:pStyle w:val="FootnoteText"/>
        <w:ind w:right="360"/>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8926A7">
        <w:rPr>
          <w:rFonts w:ascii="Times New Roman" w:hAnsi="Times New Roman" w:cs="Times New Roman"/>
        </w:rPr>
        <w:t xml:space="preserve">Bernard S. Sharfman, </w:t>
      </w:r>
      <w:r w:rsidR="00907A7C">
        <w:rPr>
          <w:rFonts w:ascii="Times New Roman" w:hAnsi="Times New Roman" w:cs="Times New Roman"/>
        </w:rPr>
        <w:t>“</w:t>
      </w:r>
      <w:r w:rsidRPr="00907A7C">
        <w:rPr>
          <w:rFonts w:ascii="Times New Roman" w:hAnsi="Times New Roman" w:cs="Times New Roman"/>
        </w:rPr>
        <w:t>The Conflict Between BlackRock’s Shareholder Activism and ERISA’s Fiduciary Duties</w:t>
      </w:r>
      <w:r w:rsidRPr="008926A7">
        <w:rPr>
          <w:rFonts w:ascii="Times New Roman" w:hAnsi="Times New Roman" w:cs="Times New Roman"/>
        </w:rPr>
        <w:t>,</w:t>
      </w:r>
      <w:r w:rsidR="00907A7C">
        <w:rPr>
          <w:rFonts w:ascii="Times New Roman" w:hAnsi="Times New Roman" w:cs="Times New Roman"/>
        </w:rPr>
        <w:t>”</w:t>
      </w:r>
      <w:r w:rsidRPr="008926A7">
        <w:rPr>
          <w:rFonts w:ascii="Times New Roman" w:hAnsi="Times New Roman" w:cs="Times New Roman"/>
        </w:rPr>
        <w:t xml:space="preserve"> 73 </w:t>
      </w:r>
      <w:r w:rsidRPr="00B34D7D">
        <w:rPr>
          <w:rFonts w:ascii="Times New Roman" w:hAnsi="Times New Roman" w:cs="Times New Roman"/>
          <w:i/>
          <w:iCs/>
        </w:rPr>
        <w:t xml:space="preserve">Case W. Res. U. </w:t>
      </w:r>
      <w:r w:rsidR="00B34D7D">
        <w:rPr>
          <w:rFonts w:ascii="Times New Roman" w:hAnsi="Times New Roman" w:cs="Times New Roman"/>
          <w:i/>
          <w:iCs/>
        </w:rPr>
        <w:t xml:space="preserve">L. </w:t>
      </w:r>
      <w:r w:rsidRPr="00B34D7D">
        <w:rPr>
          <w:rFonts w:ascii="Times New Roman" w:hAnsi="Times New Roman" w:cs="Times New Roman"/>
          <w:i/>
          <w:iCs/>
        </w:rPr>
        <w:t>Rev</w:t>
      </w:r>
      <w:r w:rsidRPr="008926A7">
        <w:rPr>
          <w:rFonts w:ascii="Times New Roman" w:hAnsi="Times New Roman" w:cs="Times New Roman"/>
          <w:smallCaps/>
        </w:rPr>
        <w:t>.</w:t>
      </w:r>
      <w:r w:rsidRPr="008926A7">
        <w:rPr>
          <w:rFonts w:ascii="Times New Roman" w:hAnsi="Times New Roman" w:cs="Times New Roman"/>
        </w:rPr>
        <w:t xml:space="preserve"> 1240, 1243–44 (2021), https://scholarlycommons.law.case.edu/caselrev/vol71/iss4/10/.</w:t>
      </w:r>
    </w:p>
  </w:footnote>
  <w:footnote w:id="36">
    <w:p w14:paraId="59C02F7F" w14:textId="786E4A9E" w:rsidR="00DF6B5E" w:rsidRPr="000F43F8" w:rsidRDefault="00DF6B5E" w:rsidP="00DF6B5E">
      <w:pPr>
        <w:pStyle w:val="FootnoteText"/>
        <w:ind w:right="360"/>
        <w:jc w:val="both"/>
        <w:rPr>
          <w:rFonts w:ascii="Times New Roman" w:hAnsi="Times New Roman" w:cs="Times New Roman"/>
        </w:rPr>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0F43F8">
        <w:rPr>
          <w:rFonts w:ascii="Times New Roman" w:hAnsi="Times New Roman" w:cs="Times New Roman"/>
        </w:rPr>
        <w:t xml:space="preserve">Cox, </w:t>
      </w:r>
      <w:r w:rsidRPr="000F43F8">
        <w:rPr>
          <w:rFonts w:ascii="Times New Roman" w:hAnsi="Times New Roman" w:cs="Times New Roman"/>
          <w:i/>
          <w:iCs/>
        </w:rPr>
        <w:t xml:space="preserve">supra </w:t>
      </w:r>
      <w:r w:rsidRPr="000F43F8">
        <w:rPr>
          <w:rFonts w:ascii="Times New Roman" w:hAnsi="Times New Roman" w:cs="Times New Roman"/>
        </w:rPr>
        <w:t>note 2</w:t>
      </w:r>
      <w:r w:rsidR="00907A7C">
        <w:rPr>
          <w:rFonts w:ascii="Times New Roman" w:hAnsi="Times New Roman" w:cs="Times New Roman"/>
        </w:rPr>
        <w:t>6</w:t>
      </w:r>
      <w:r w:rsidRPr="000F43F8">
        <w:rPr>
          <w:rFonts w:ascii="Times New Roman" w:hAnsi="Times New Roman" w:cs="Times New Roman"/>
        </w:rPr>
        <w:t>.</w:t>
      </w:r>
    </w:p>
  </w:footnote>
  <w:footnote w:id="37">
    <w:p w14:paraId="72EC37D1" w14:textId="6023ECA6" w:rsidR="00C270BB" w:rsidRPr="00B35ECC" w:rsidRDefault="00C270BB">
      <w:pPr>
        <w:pStyle w:val="FootnoteText"/>
        <w:rPr>
          <w:rFonts w:ascii="Times New Roman" w:hAnsi="Times New Roman" w:cs="Times New Roman"/>
        </w:rPr>
      </w:pPr>
      <w:r w:rsidRPr="00B35ECC">
        <w:rPr>
          <w:rStyle w:val="FootnoteReference"/>
          <w:rFonts w:ascii="Times New Roman" w:hAnsi="Times New Roman" w:cs="Times New Roman"/>
        </w:rPr>
        <w:footnoteRef/>
      </w:r>
      <w:r w:rsidRPr="00B35ECC">
        <w:rPr>
          <w:rFonts w:ascii="Times New Roman" w:hAnsi="Times New Roman" w:cs="Times New Roman"/>
        </w:rPr>
        <w:t xml:space="preserve"> </w:t>
      </w:r>
      <w:r w:rsidRPr="00B35ECC">
        <w:rPr>
          <w:rFonts w:ascii="Times New Roman" w:hAnsi="Times New Roman" w:cs="Times New Roman"/>
          <w:i/>
          <w:iCs/>
        </w:rPr>
        <w:t xml:space="preserve">See </w:t>
      </w:r>
      <w:r w:rsidRPr="00B35ECC">
        <w:rPr>
          <w:rFonts w:ascii="Times New Roman" w:hAnsi="Times New Roman" w:cs="Times New Roman"/>
        </w:rPr>
        <w:t xml:space="preserve">James R. Copland, “The ESG Bubble Is Bursting,” </w:t>
      </w:r>
      <w:r w:rsidRPr="00B35ECC">
        <w:rPr>
          <w:rFonts w:ascii="Times New Roman" w:hAnsi="Times New Roman" w:cs="Times New Roman"/>
          <w:i/>
          <w:iCs/>
        </w:rPr>
        <w:t>City J.</w:t>
      </w:r>
      <w:r w:rsidRPr="00B35ECC">
        <w:rPr>
          <w:rFonts w:ascii="Times New Roman" w:hAnsi="Times New Roman" w:cs="Times New Roman"/>
        </w:rPr>
        <w:t xml:space="preserve">, Aug. 19, 2025, </w:t>
      </w:r>
      <w:r w:rsidR="00B35ECC" w:rsidRPr="00B35ECC">
        <w:rPr>
          <w:rFonts w:ascii="Times New Roman" w:hAnsi="Times New Roman" w:cs="Times New Roman"/>
        </w:rPr>
        <w:t>https://www.city-journal.org/article/esg-investing-funds-energy-economy.</w:t>
      </w:r>
    </w:p>
  </w:footnote>
  <w:footnote w:id="38">
    <w:p w14:paraId="3CEAF92C" w14:textId="6A266BE7" w:rsidR="00DF6B5E" w:rsidRPr="00CB1391" w:rsidRDefault="00DF6B5E" w:rsidP="00B34D7D">
      <w:pPr>
        <w:pStyle w:val="FootnoteText"/>
        <w:ind w:right="360"/>
      </w:pPr>
      <w:r w:rsidRPr="000F43F8">
        <w:rPr>
          <w:rStyle w:val="FootnoteReference"/>
          <w:rFonts w:ascii="Times New Roman" w:hAnsi="Times New Roman" w:cs="Times New Roman"/>
        </w:rPr>
        <w:footnoteRef/>
      </w:r>
      <w:r w:rsidRPr="000F43F8">
        <w:rPr>
          <w:rFonts w:ascii="Times New Roman" w:hAnsi="Times New Roman" w:cs="Times New Roman"/>
        </w:rPr>
        <w:t xml:space="preserve"> </w:t>
      </w:r>
      <w:r w:rsidRPr="000F43F8">
        <w:rPr>
          <w:rFonts w:ascii="Times New Roman" w:hAnsi="Times New Roman" w:cs="Times New Roman"/>
          <w:i/>
          <w:iCs/>
        </w:rPr>
        <w:t xml:space="preserve">See </w:t>
      </w:r>
      <w:r w:rsidRPr="000F43F8">
        <w:rPr>
          <w:rFonts w:ascii="Times New Roman" w:hAnsi="Times New Roman" w:cs="Times New Roman"/>
        </w:rPr>
        <w:t xml:space="preserve">Greg Iacurci, </w:t>
      </w:r>
      <w:r w:rsidR="00B34D7D">
        <w:rPr>
          <w:rFonts w:ascii="Times New Roman" w:hAnsi="Times New Roman" w:cs="Times New Roman"/>
        </w:rPr>
        <w:t>“</w:t>
      </w:r>
      <w:r w:rsidRPr="00B34D7D">
        <w:rPr>
          <w:rFonts w:ascii="Times New Roman" w:hAnsi="Times New Roman" w:cs="Times New Roman"/>
        </w:rPr>
        <w:t xml:space="preserve">Money Invested </w:t>
      </w:r>
      <w:r w:rsidR="00B34D7D">
        <w:rPr>
          <w:rFonts w:ascii="Times New Roman" w:hAnsi="Times New Roman" w:cs="Times New Roman"/>
        </w:rPr>
        <w:t>i</w:t>
      </w:r>
      <w:r w:rsidRPr="00B34D7D">
        <w:rPr>
          <w:rFonts w:ascii="Times New Roman" w:hAnsi="Times New Roman" w:cs="Times New Roman"/>
        </w:rPr>
        <w:t xml:space="preserve">n ESG Funds More Than Doubles </w:t>
      </w:r>
      <w:r w:rsidR="00B34D7D">
        <w:rPr>
          <w:rFonts w:ascii="Times New Roman" w:hAnsi="Times New Roman" w:cs="Times New Roman"/>
        </w:rPr>
        <w:t>i</w:t>
      </w:r>
      <w:r w:rsidRPr="00B34D7D">
        <w:rPr>
          <w:rFonts w:ascii="Times New Roman" w:hAnsi="Times New Roman" w:cs="Times New Roman"/>
        </w:rPr>
        <w:t>n a Year</w:t>
      </w:r>
      <w:r w:rsidRPr="000F43F8">
        <w:rPr>
          <w:rFonts w:ascii="Times New Roman" w:hAnsi="Times New Roman" w:cs="Times New Roman"/>
        </w:rPr>
        <w:t>,</w:t>
      </w:r>
      <w:r w:rsidR="00B34D7D">
        <w:rPr>
          <w:rFonts w:ascii="Times New Roman" w:hAnsi="Times New Roman" w:cs="Times New Roman"/>
        </w:rPr>
        <w:t>”</w:t>
      </w:r>
      <w:r w:rsidRPr="000F43F8">
        <w:rPr>
          <w:rFonts w:ascii="Times New Roman" w:hAnsi="Times New Roman" w:cs="Times New Roman"/>
        </w:rPr>
        <w:t xml:space="preserve"> </w:t>
      </w:r>
      <w:r w:rsidRPr="00B34D7D">
        <w:rPr>
          <w:rFonts w:ascii="Times New Roman" w:hAnsi="Times New Roman" w:cs="Times New Roman"/>
          <w:i/>
          <w:iCs/>
        </w:rPr>
        <w:t>CNBC.com</w:t>
      </w:r>
      <w:r w:rsidRPr="000F43F8">
        <w:rPr>
          <w:rFonts w:ascii="Times New Roman" w:hAnsi="Times New Roman" w:cs="Times New Roman"/>
        </w:rPr>
        <w:t>, Feb. 11.2021, https://www.cnbc.com/2021/02/11/sustainable-investment-funds-more-than-doubled-in-2020-.html.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1F3E" w14:textId="0DF855B9" w:rsidR="000A1ED8" w:rsidRDefault="00CA02F3" w:rsidP="00CA02F3">
    <w:pPr>
      <w:pStyle w:val="Header"/>
      <w:jc w:val="both"/>
    </w:pPr>
    <w:r>
      <w:t>James R. Copland</w:t>
    </w:r>
    <w:r>
      <w:tab/>
    </w:r>
    <w:r>
      <w:tab/>
    </w:r>
    <w:r w:rsidR="006C3C60">
      <w:t xml:space="preserve">November </w:t>
    </w:r>
    <w:r w:rsidR="00FD1537">
      <w:t>20</w:t>
    </w:r>
    <w: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6A82" w14:textId="77777777" w:rsidR="000A1ED8" w:rsidRDefault="000A1ED8" w:rsidP="000A1ED8">
    <w:pPr>
      <w:pStyle w:val="Header"/>
    </w:pPr>
    <w:r>
      <w:rPr>
        <w:noProof/>
      </w:rPr>
      <w:drawing>
        <wp:anchor distT="0" distB="0" distL="0" distR="0" simplePos="0" relativeHeight="251659264" behindDoc="1" locked="0" layoutInCell="1" allowOverlap="1" wp14:anchorId="3444EE72" wp14:editId="537C507F">
          <wp:simplePos x="0" y="0"/>
          <wp:positionH relativeFrom="page">
            <wp:posOffset>457200</wp:posOffset>
          </wp:positionH>
          <wp:positionV relativeFrom="page">
            <wp:posOffset>457200</wp:posOffset>
          </wp:positionV>
          <wp:extent cx="1973887" cy="359444"/>
          <wp:effectExtent l="0" t="0" r="7620" b="2540"/>
          <wp:wrapNone/>
          <wp:docPr id="9178514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73887" cy="359444"/>
                  </a:xfrm>
                  <a:prstGeom prst="rect">
                    <a:avLst/>
                  </a:prstGeom>
                </pic:spPr>
              </pic:pic>
            </a:graphicData>
          </a:graphic>
        </wp:anchor>
      </w:drawing>
    </w:r>
  </w:p>
  <w:p w14:paraId="6D6E4BE5" w14:textId="77777777" w:rsidR="000A1ED8" w:rsidRDefault="000A1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E52"/>
    <w:multiLevelType w:val="hybridMultilevel"/>
    <w:tmpl w:val="18DC1CFE"/>
    <w:lvl w:ilvl="0" w:tplc="495CC7B6">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86D63"/>
    <w:multiLevelType w:val="hybridMultilevel"/>
    <w:tmpl w:val="6FB86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1671DC"/>
    <w:multiLevelType w:val="hybridMultilevel"/>
    <w:tmpl w:val="B580742A"/>
    <w:lvl w:ilvl="0" w:tplc="80FA8A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923A4D"/>
    <w:multiLevelType w:val="hybridMultilevel"/>
    <w:tmpl w:val="1FD8E1F4"/>
    <w:lvl w:ilvl="0" w:tplc="54B055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268EC"/>
    <w:multiLevelType w:val="hybridMultilevel"/>
    <w:tmpl w:val="FFDE8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D03E7C"/>
    <w:multiLevelType w:val="hybridMultilevel"/>
    <w:tmpl w:val="9F7A8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0D635A"/>
    <w:multiLevelType w:val="hybridMultilevel"/>
    <w:tmpl w:val="7F322E2E"/>
    <w:lvl w:ilvl="0" w:tplc="C32880C4">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56451C3"/>
    <w:multiLevelType w:val="hybridMultilevel"/>
    <w:tmpl w:val="4B5A0A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7A139FE"/>
    <w:multiLevelType w:val="hybridMultilevel"/>
    <w:tmpl w:val="B11AC452"/>
    <w:lvl w:ilvl="0" w:tplc="CE2AD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6C57C"/>
    <w:multiLevelType w:val="hybridMultilevel"/>
    <w:tmpl w:val="32B254A6"/>
    <w:lvl w:ilvl="0" w:tplc="F71221DE">
      <w:start w:val="1"/>
      <w:numFmt w:val="bullet"/>
      <w:lvlText w:val=""/>
      <w:lvlJc w:val="left"/>
      <w:pPr>
        <w:ind w:left="720" w:hanging="360"/>
      </w:pPr>
      <w:rPr>
        <w:rFonts w:ascii="Symbol" w:hAnsi="Symbol" w:hint="default"/>
      </w:rPr>
    </w:lvl>
    <w:lvl w:ilvl="1" w:tplc="93F80642">
      <w:start w:val="1"/>
      <w:numFmt w:val="bullet"/>
      <w:lvlText w:val="o"/>
      <w:lvlJc w:val="left"/>
      <w:pPr>
        <w:ind w:left="1440" w:hanging="360"/>
      </w:pPr>
      <w:rPr>
        <w:rFonts w:ascii="Courier New" w:hAnsi="Courier New" w:hint="default"/>
      </w:rPr>
    </w:lvl>
    <w:lvl w:ilvl="2" w:tplc="5384717C">
      <w:start w:val="1"/>
      <w:numFmt w:val="bullet"/>
      <w:lvlText w:val=""/>
      <w:lvlJc w:val="left"/>
      <w:pPr>
        <w:ind w:left="2160" w:hanging="360"/>
      </w:pPr>
      <w:rPr>
        <w:rFonts w:ascii="Wingdings" w:hAnsi="Wingdings" w:hint="default"/>
      </w:rPr>
    </w:lvl>
    <w:lvl w:ilvl="3" w:tplc="27A697DE">
      <w:start w:val="1"/>
      <w:numFmt w:val="bullet"/>
      <w:lvlText w:val=""/>
      <w:lvlJc w:val="left"/>
      <w:pPr>
        <w:ind w:left="2880" w:hanging="360"/>
      </w:pPr>
      <w:rPr>
        <w:rFonts w:ascii="Symbol" w:hAnsi="Symbol" w:hint="default"/>
      </w:rPr>
    </w:lvl>
    <w:lvl w:ilvl="4" w:tplc="BA96A2D0">
      <w:start w:val="1"/>
      <w:numFmt w:val="bullet"/>
      <w:lvlText w:val="o"/>
      <w:lvlJc w:val="left"/>
      <w:pPr>
        <w:ind w:left="3600" w:hanging="360"/>
      </w:pPr>
      <w:rPr>
        <w:rFonts w:ascii="Courier New" w:hAnsi="Courier New" w:hint="default"/>
      </w:rPr>
    </w:lvl>
    <w:lvl w:ilvl="5" w:tplc="940407EE">
      <w:start w:val="1"/>
      <w:numFmt w:val="bullet"/>
      <w:lvlText w:val=""/>
      <w:lvlJc w:val="left"/>
      <w:pPr>
        <w:ind w:left="4320" w:hanging="360"/>
      </w:pPr>
      <w:rPr>
        <w:rFonts w:ascii="Wingdings" w:hAnsi="Wingdings" w:hint="default"/>
      </w:rPr>
    </w:lvl>
    <w:lvl w:ilvl="6" w:tplc="98BCF42E">
      <w:start w:val="1"/>
      <w:numFmt w:val="bullet"/>
      <w:lvlText w:val=""/>
      <w:lvlJc w:val="left"/>
      <w:pPr>
        <w:ind w:left="5040" w:hanging="360"/>
      </w:pPr>
      <w:rPr>
        <w:rFonts w:ascii="Symbol" w:hAnsi="Symbol" w:hint="default"/>
      </w:rPr>
    </w:lvl>
    <w:lvl w:ilvl="7" w:tplc="32E606B4">
      <w:start w:val="1"/>
      <w:numFmt w:val="bullet"/>
      <w:lvlText w:val="o"/>
      <w:lvlJc w:val="left"/>
      <w:pPr>
        <w:ind w:left="5760" w:hanging="360"/>
      </w:pPr>
      <w:rPr>
        <w:rFonts w:ascii="Courier New" w:hAnsi="Courier New" w:hint="default"/>
      </w:rPr>
    </w:lvl>
    <w:lvl w:ilvl="8" w:tplc="798082F2">
      <w:start w:val="1"/>
      <w:numFmt w:val="bullet"/>
      <w:lvlText w:val=""/>
      <w:lvlJc w:val="left"/>
      <w:pPr>
        <w:ind w:left="6480" w:hanging="360"/>
      </w:pPr>
      <w:rPr>
        <w:rFonts w:ascii="Wingdings" w:hAnsi="Wingdings" w:hint="default"/>
      </w:rPr>
    </w:lvl>
  </w:abstractNum>
  <w:abstractNum w:abstractNumId="10" w15:restartNumberingAfterBreak="0">
    <w:nsid w:val="55DC2E0F"/>
    <w:multiLevelType w:val="hybridMultilevel"/>
    <w:tmpl w:val="6512E6D8"/>
    <w:lvl w:ilvl="0" w:tplc="8AFEB2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EDD27"/>
    <w:multiLevelType w:val="hybridMultilevel"/>
    <w:tmpl w:val="433A79D8"/>
    <w:lvl w:ilvl="0" w:tplc="F81E513C">
      <w:start w:val="1"/>
      <w:numFmt w:val="bullet"/>
      <w:lvlText w:val=""/>
      <w:lvlJc w:val="left"/>
      <w:pPr>
        <w:ind w:left="720" w:hanging="360"/>
      </w:pPr>
      <w:rPr>
        <w:rFonts w:ascii="Symbol" w:hAnsi="Symbol" w:hint="default"/>
      </w:rPr>
    </w:lvl>
    <w:lvl w:ilvl="1" w:tplc="FB5E0B92">
      <w:start w:val="1"/>
      <w:numFmt w:val="bullet"/>
      <w:lvlText w:val="o"/>
      <w:lvlJc w:val="left"/>
      <w:pPr>
        <w:ind w:left="1440" w:hanging="360"/>
      </w:pPr>
      <w:rPr>
        <w:rFonts w:ascii="Courier New" w:hAnsi="Courier New" w:hint="default"/>
      </w:rPr>
    </w:lvl>
    <w:lvl w:ilvl="2" w:tplc="3044F0D2">
      <w:start w:val="1"/>
      <w:numFmt w:val="bullet"/>
      <w:lvlText w:val=""/>
      <w:lvlJc w:val="left"/>
      <w:pPr>
        <w:ind w:left="2160" w:hanging="360"/>
      </w:pPr>
      <w:rPr>
        <w:rFonts w:ascii="Wingdings" w:hAnsi="Wingdings" w:hint="default"/>
      </w:rPr>
    </w:lvl>
    <w:lvl w:ilvl="3" w:tplc="686A3294">
      <w:start w:val="1"/>
      <w:numFmt w:val="bullet"/>
      <w:lvlText w:val=""/>
      <w:lvlJc w:val="left"/>
      <w:pPr>
        <w:ind w:left="2880" w:hanging="360"/>
      </w:pPr>
      <w:rPr>
        <w:rFonts w:ascii="Symbol" w:hAnsi="Symbol" w:hint="default"/>
      </w:rPr>
    </w:lvl>
    <w:lvl w:ilvl="4" w:tplc="CFD4B34C">
      <w:start w:val="1"/>
      <w:numFmt w:val="bullet"/>
      <w:lvlText w:val="o"/>
      <w:lvlJc w:val="left"/>
      <w:pPr>
        <w:ind w:left="3600" w:hanging="360"/>
      </w:pPr>
      <w:rPr>
        <w:rFonts w:ascii="Courier New" w:hAnsi="Courier New" w:hint="default"/>
      </w:rPr>
    </w:lvl>
    <w:lvl w:ilvl="5" w:tplc="0D2484A0">
      <w:start w:val="1"/>
      <w:numFmt w:val="bullet"/>
      <w:lvlText w:val=""/>
      <w:lvlJc w:val="left"/>
      <w:pPr>
        <w:ind w:left="4320" w:hanging="360"/>
      </w:pPr>
      <w:rPr>
        <w:rFonts w:ascii="Wingdings" w:hAnsi="Wingdings" w:hint="default"/>
      </w:rPr>
    </w:lvl>
    <w:lvl w:ilvl="6" w:tplc="4F1C6814">
      <w:start w:val="1"/>
      <w:numFmt w:val="bullet"/>
      <w:lvlText w:val=""/>
      <w:lvlJc w:val="left"/>
      <w:pPr>
        <w:ind w:left="5040" w:hanging="360"/>
      </w:pPr>
      <w:rPr>
        <w:rFonts w:ascii="Symbol" w:hAnsi="Symbol" w:hint="default"/>
      </w:rPr>
    </w:lvl>
    <w:lvl w:ilvl="7" w:tplc="3892BD78">
      <w:start w:val="1"/>
      <w:numFmt w:val="bullet"/>
      <w:lvlText w:val="o"/>
      <w:lvlJc w:val="left"/>
      <w:pPr>
        <w:ind w:left="5760" w:hanging="360"/>
      </w:pPr>
      <w:rPr>
        <w:rFonts w:ascii="Courier New" w:hAnsi="Courier New" w:hint="default"/>
      </w:rPr>
    </w:lvl>
    <w:lvl w:ilvl="8" w:tplc="1E74CBAE">
      <w:start w:val="1"/>
      <w:numFmt w:val="bullet"/>
      <w:lvlText w:val=""/>
      <w:lvlJc w:val="left"/>
      <w:pPr>
        <w:ind w:left="6480" w:hanging="360"/>
      </w:pPr>
      <w:rPr>
        <w:rFonts w:ascii="Wingdings" w:hAnsi="Wingdings" w:hint="default"/>
      </w:rPr>
    </w:lvl>
  </w:abstractNum>
  <w:abstractNum w:abstractNumId="12" w15:restartNumberingAfterBreak="0">
    <w:nsid w:val="5E0128BB"/>
    <w:multiLevelType w:val="hybridMultilevel"/>
    <w:tmpl w:val="B4D8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B0B45"/>
    <w:multiLevelType w:val="hybridMultilevel"/>
    <w:tmpl w:val="0AEAF292"/>
    <w:lvl w:ilvl="0" w:tplc="54B055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F7F61"/>
    <w:multiLevelType w:val="hybridMultilevel"/>
    <w:tmpl w:val="000AE4AE"/>
    <w:lvl w:ilvl="0" w:tplc="54B0559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880FD2"/>
    <w:multiLevelType w:val="hybridMultilevel"/>
    <w:tmpl w:val="0A8CF0EC"/>
    <w:lvl w:ilvl="0" w:tplc="84868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841099"/>
    <w:multiLevelType w:val="hybridMultilevel"/>
    <w:tmpl w:val="E8E8C7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A013D99"/>
    <w:multiLevelType w:val="hybridMultilevel"/>
    <w:tmpl w:val="9BB4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25CC1"/>
    <w:multiLevelType w:val="hybridMultilevel"/>
    <w:tmpl w:val="6464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915943">
    <w:abstractNumId w:val="18"/>
  </w:num>
  <w:num w:numId="2" w16cid:durableId="526797389">
    <w:abstractNumId w:val="4"/>
  </w:num>
  <w:num w:numId="3" w16cid:durableId="2083139088">
    <w:abstractNumId w:val="7"/>
  </w:num>
  <w:num w:numId="4" w16cid:durableId="1359965057">
    <w:abstractNumId w:val="16"/>
  </w:num>
  <w:num w:numId="5" w16cid:durableId="431896614">
    <w:abstractNumId w:val="12"/>
  </w:num>
  <w:num w:numId="6" w16cid:durableId="1386636006">
    <w:abstractNumId w:val="6"/>
  </w:num>
  <w:num w:numId="7" w16cid:durableId="634874498">
    <w:abstractNumId w:val="15"/>
  </w:num>
  <w:num w:numId="8" w16cid:durableId="678779155">
    <w:abstractNumId w:val="8"/>
  </w:num>
  <w:num w:numId="9" w16cid:durableId="1246963772">
    <w:abstractNumId w:val="10"/>
  </w:num>
  <w:num w:numId="10" w16cid:durableId="1018459744">
    <w:abstractNumId w:val="0"/>
  </w:num>
  <w:num w:numId="11" w16cid:durableId="537937922">
    <w:abstractNumId w:val="2"/>
  </w:num>
  <w:num w:numId="12" w16cid:durableId="1333022208">
    <w:abstractNumId w:val="1"/>
  </w:num>
  <w:num w:numId="13" w16cid:durableId="429469848">
    <w:abstractNumId w:val="11"/>
  </w:num>
  <w:num w:numId="14" w16cid:durableId="2003388843">
    <w:abstractNumId w:val="9"/>
  </w:num>
  <w:num w:numId="15" w16cid:durableId="753093045">
    <w:abstractNumId w:val="17"/>
  </w:num>
  <w:num w:numId="16" w16cid:durableId="185140454">
    <w:abstractNumId w:val="3"/>
  </w:num>
  <w:num w:numId="17" w16cid:durableId="1471747025">
    <w:abstractNumId w:val="14"/>
  </w:num>
  <w:num w:numId="18" w16cid:durableId="382144341">
    <w:abstractNumId w:val="13"/>
  </w:num>
  <w:num w:numId="19" w16cid:durableId="1636521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2C"/>
    <w:rsid w:val="00000A8F"/>
    <w:rsid w:val="00004F28"/>
    <w:rsid w:val="00007C8C"/>
    <w:rsid w:val="00007D72"/>
    <w:rsid w:val="0001148C"/>
    <w:rsid w:val="00013F99"/>
    <w:rsid w:val="00014BE0"/>
    <w:rsid w:val="00015BB9"/>
    <w:rsid w:val="000205E7"/>
    <w:rsid w:val="00021E3C"/>
    <w:rsid w:val="00032D12"/>
    <w:rsid w:val="00037E50"/>
    <w:rsid w:val="0004315A"/>
    <w:rsid w:val="000542B4"/>
    <w:rsid w:val="00054D26"/>
    <w:rsid w:val="000556DA"/>
    <w:rsid w:val="00056D67"/>
    <w:rsid w:val="00057D45"/>
    <w:rsid w:val="0006074A"/>
    <w:rsid w:val="00060C30"/>
    <w:rsid w:val="000619E2"/>
    <w:rsid w:val="00063D03"/>
    <w:rsid w:val="00065468"/>
    <w:rsid w:val="00065E24"/>
    <w:rsid w:val="0007253E"/>
    <w:rsid w:val="00073FD8"/>
    <w:rsid w:val="000766BB"/>
    <w:rsid w:val="00080AB0"/>
    <w:rsid w:val="0008334D"/>
    <w:rsid w:val="00083975"/>
    <w:rsid w:val="0008632D"/>
    <w:rsid w:val="000905FB"/>
    <w:rsid w:val="00094D11"/>
    <w:rsid w:val="000952B2"/>
    <w:rsid w:val="000A09F2"/>
    <w:rsid w:val="000A148D"/>
    <w:rsid w:val="000A1ED8"/>
    <w:rsid w:val="000A34B7"/>
    <w:rsid w:val="000A7ED1"/>
    <w:rsid w:val="000B1C0B"/>
    <w:rsid w:val="000B37B3"/>
    <w:rsid w:val="000B745C"/>
    <w:rsid w:val="000C3780"/>
    <w:rsid w:val="000C45C9"/>
    <w:rsid w:val="000C5A1B"/>
    <w:rsid w:val="000C5E30"/>
    <w:rsid w:val="000C68BF"/>
    <w:rsid w:val="000D3288"/>
    <w:rsid w:val="000D4A3C"/>
    <w:rsid w:val="000D5FCF"/>
    <w:rsid w:val="000E1772"/>
    <w:rsid w:val="000E252F"/>
    <w:rsid w:val="000E3917"/>
    <w:rsid w:val="000E4E82"/>
    <w:rsid w:val="000E59E2"/>
    <w:rsid w:val="000E5DBA"/>
    <w:rsid w:val="000E5EE9"/>
    <w:rsid w:val="000E7597"/>
    <w:rsid w:val="000E76A9"/>
    <w:rsid w:val="000E7C51"/>
    <w:rsid w:val="000F36AE"/>
    <w:rsid w:val="000F48CC"/>
    <w:rsid w:val="000F689C"/>
    <w:rsid w:val="000F7160"/>
    <w:rsid w:val="000F7ABA"/>
    <w:rsid w:val="0010054D"/>
    <w:rsid w:val="0010601F"/>
    <w:rsid w:val="00116C73"/>
    <w:rsid w:val="00117585"/>
    <w:rsid w:val="001200AC"/>
    <w:rsid w:val="001218E0"/>
    <w:rsid w:val="00122581"/>
    <w:rsid w:val="00123272"/>
    <w:rsid w:val="00125C40"/>
    <w:rsid w:val="00126953"/>
    <w:rsid w:val="00127429"/>
    <w:rsid w:val="00127463"/>
    <w:rsid w:val="001278BA"/>
    <w:rsid w:val="00133964"/>
    <w:rsid w:val="00133F14"/>
    <w:rsid w:val="00140C59"/>
    <w:rsid w:val="001447C4"/>
    <w:rsid w:val="0015589B"/>
    <w:rsid w:val="00156B75"/>
    <w:rsid w:val="00160B38"/>
    <w:rsid w:val="00160C5F"/>
    <w:rsid w:val="001633C2"/>
    <w:rsid w:val="001640F4"/>
    <w:rsid w:val="00171C4F"/>
    <w:rsid w:val="00173DF6"/>
    <w:rsid w:val="0017695A"/>
    <w:rsid w:val="0018029E"/>
    <w:rsid w:val="00181E22"/>
    <w:rsid w:val="0018469C"/>
    <w:rsid w:val="00184D4E"/>
    <w:rsid w:val="00193C88"/>
    <w:rsid w:val="00194778"/>
    <w:rsid w:val="00197C3F"/>
    <w:rsid w:val="001A4A8F"/>
    <w:rsid w:val="001A59D9"/>
    <w:rsid w:val="001A7BC4"/>
    <w:rsid w:val="001B039B"/>
    <w:rsid w:val="001B5463"/>
    <w:rsid w:val="001B6D7B"/>
    <w:rsid w:val="001B7470"/>
    <w:rsid w:val="001B7C5F"/>
    <w:rsid w:val="001C0343"/>
    <w:rsid w:val="001C0655"/>
    <w:rsid w:val="001C10E7"/>
    <w:rsid w:val="001C3E9E"/>
    <w:rsid w:val="001C6109"/>
    <w:rsid w:val="001D252A"/>
    <w:rsid w:val="001D4116"/>
    <w:rsid w:val="001D42B2"/>
    <w:rsid w:val="001D4339"/>
    <w:rsid w:val="001E2E29"/>
    <w:rsid w:val="001F6348"/>
    <w:rsid w:val="002067E2"/>
    <w:rsid w:val="0020798E"/>
    <w:rsid w:val="00210BCB"/>
    <w:rsid w:val="00210BEA"/>
    <w:rsid w:val="00216C45"/>
    <w:rsid w:val="00217952"/>
    <w:rsid w:val="002218D5"/>
    <w:rsid w:val="00230359"/>
    <w:rsid w:val="002309BE"/>
    <w:rsid w:val="00230CDD"/>
    <w:rsid w:val="00235459"/>
    <w:rsid w:val="00236293"/>
    <w:rsid w:val="002408A8"/>
    <w:rsid w:val="00243265"/>
    <w:rsid w:val="002456E7"/>
    <w:rsid w:val="002459BE"/>
    <w:rsid w:val="002460E2"/>
    <w:rsid w:val="00246323"/>
    <w:rsid w:val="00247089"/>
    <w:rsid w:val="002502A1"/>
    <w:rsid w:val="002513DD"/>
    <w:rsid w:val="002523DF"/>
    <w:rsid w:val="0025351E"/>
    <w:rsid w:val="00254E29"/>
    <w:rsid w:val="00256E95"/>
    <w:rsid w:val="00260D4E"/>
    <w:rsid w:val="0026285C"/>
    <w:rsid w:val="00263F42"/>
    <w:rsid w:val="00265386"/>
    <w:rsid w:val="00266D25"/>
    <w:rsid w:val="002670CC"/>
    <w:rsid w:val="00267107"/>
    <w:rsid w:val="0027272D"/>
    <w:rsid w:val="00274EF6"/>
    <w:rsid w:val="00284B7D"/>
    <w:rsid w:val="0028551B"/>
    <w:rsid w:val="00285626"/>
    <w:rsid w:val="002919E8"/>
    <w:rsid w:val="00294F4D"/>
    <w:rsid w:val="002960CB"/>
    <w:rsid w:val="00296431"/>
    <w:rsid w:val="002974F7"/>
    <w:rsid w:val="002A3EF8"/>
    <w:rsid w:val="002A6D93"/>
    <w:rsid w:val="002B1E17"/>
    <w:rsid w:val="002B21CC"/>
    <w:rsid w:val="002B32A1"/>
    <w:rsid w:val="002B548C"/>
    <w:rsid w:val="002B5501"/>
    <w:rsid w:val="002B5C30"/>
    <w:rsid w:val="002B7BD0"/>
    <w:rsid w:val="002C031B"/>
    <w:rsid w:val="002C0321"/>
    <w:rsid w:val="002C0ADA"/>
    <w:rsid w:val="002C1B1C"/>
    <w:rsid w:val="002C1D3A"/>
    <w:rsid w:val="002C4CFA"/>
    <w:rsid w:val="002C6651"/>
    <w:rsid w:val="002C77F8"/>
    <w:rsid w:val="002D6999"/>
    <w:rsid w:val="002D6A01"/>
    <w:rsid w:val="002D77DC"/>
    <w:rsid w:val="002D7DE5"/>
    <w:rsid w:val="002E0E91"/>
    <w:rsid w:val="002E24FC"/>
    <w:rsid w:val="002E2D99"/>
    <w:rsid w:val="002E3318"/>
    <w:rsid w:val="002E5905"/>
    <w:rsid w:val="002E60DC"/>
    <w:rsid w:val="002E6482"/>
    <w:rsid w:val="002F208A"/>
    <w:rsid w:val="002F2211"/>
    <w:rsid w:val="002F74B1"/>
    <w:rsid w:val="003001CB"/>
    <w:rsid w:val="0030310D"/>
    <w:rsid w:val="003057E9"/>
    <w:rsid w:val="0030650B"/>
    <w:rsid w:val="003127FF"/>
    <w:rsid w:val="00312F9F"/>
    <w:rsid w:val="00314645"/>
    <w:rsid w:val="0031734A"/>
    <w:rsid w:val="00320B61"/>
    <w:rsid w:val="003227C1"/>
    <w:rsid w:val="0032312C"/>
    <w:rsid w:val="00324429"/>
    <w:rsid w:val="00325E92"/>
    <w:rsid w:val="003262C8"/>
    <w:rsid w:val="0032782E"/>
    <w:rsid w:val="00330874"/>
    <w:rsid w:val="003367B9"/>
    <w:rsid w:val="00340BA8"/>
    <w:rsid w:val="003447DA"/>
    <w:rsid w:val="00344D51"/>
    <w:rsid w:val="003464A4"/>
    <w:rsid w:val="0035234F"/>
    <w:rsid w:val="003532F0"/>
    <w:rsid w:val="003541EB"/>
    <w:rsid w:val="00354722"/>
    <w:rsid w:val="00354DBB"/>
    <w:rsid w:val="0035507E"/>
    <w:rsid w:val="00366500"/>
    <w:rsid w:val="0036738C"/>
    <w:rsid w:val="0037079F"/>
    <w:rsid w:val="00372224"/>
    <w:rsid w:val="00372D49"/>
    <w:rsid w:val="003735F2"/>
    <w:rsid w:val="003758DD"/>
    <w:rsid w:val="00381BA0"/>
    <w:rsid w:val="00383A00"/>
    <w:rsid w:val="003843FC"/>
    <w:rsid w:val="003849AE"/>
    <w:rsid w:val="003855F2"/>
    <w:rsid w:val="00386022"/>
    <w:rsid w:val="00387B02"/>
    <w:rsid w:val="003918AC"/>
    <w:rsid w:val="0039236D"/>
    <w:rsid w:val="0039289F"/>
    <w:rsid w:val="00393317"/>
    <w:rsid w:val="00393B2E"/>
    <w:rsid w:val="003942DE"/>
    <w:rsid w:val="00394FA2"/>
    <w:rsid w:val="00395219"/>
    <w:rsid w:val="003978B8"/>
    <w:rsid w:val="003A33C8"/>
    <w:rsid w:val="003A6FDF"/>
    <w:rsid w:val="003A7E0D"/>
    <w:rsid w:val="003B0B55"/>
    <w:rsid w:val="003B1A3C"/>
    <w:rsid w:val="003B50F5"/>
    <w:rsid w:val="003B6F38"/>
    <w:rsid w:val="003D2E14"/>
    <w:rsid w:val="003D4924"/>
    <w:rsid w:val="003E02DD"/>
    <w:rsid w:val="003E04FD"/>
    <w:rsid w:val="003E3E3E"/>
    <w:rsid w:val="003E7BC8"/>
    <w:rsid w:val="003F0382"/>
    <w:rsid w:val="003F15FB"/>
    <w:rsid w:val="003F1BA2"/>
    <w:rsid w:val="003F3AE1"/>
    <w:rsid w:val="003F534C"/>
    <w:rsid w:val="003F5496"/>
    <w:rsid w:val="003F5746"/>
    <w:rsid w:val="004106A1"/>
    <w:rsid w:val="00412075"/>
    <w:rsid w:val="00413EF2"/>
    <w:rsid w:val="00421B8F"/>
    <w:rsid w:val="004230C3"/>
    <w:rsid w:val="004302FA"/>
    <w:rsid w:val="004303FF"/>
    <w:rsid w:val="00430877"/>
    <w:rsid w:val="00430CCC"/>
    <w:rsid w:val="00432854"/>
    <w:rsid w:val="00432EDE"/>
    <w:rsid w:val="004341BC"/>
    <w:rsid w:val="0043426C"/>
    <w:rsid w:val="004344C2"/>
    <w:rsid w:val="00435C36"/>
    <w:rsid w:val="0043644A"/>
    <w:rsid w:val="00441C72"/>
    <w:rsid w:val="00442043"/>
    <w:rsid w:val="00442587"/>
    <w:rsid w:val="004450D8"/>
    <w:rsid w:val="00446E20"/>
    <w:rsid w:val="00447093"/>
    <w:rsid w:val="004470C9"/>
    <w:rsid w:val="00447385"/>
    <w:rsid w:val="00447422"/>
    <w:rsid w:val="004515F0"/>
    <w:rsid w:val="00451793"/>
    <w:rsid w:val="0045210A"/>
    <w:rsid w:val="00452C19"/>
    <w:rsid w:val="0045532A"/>
    <w:rsid w:val="00460B83"/>
    <w:rsid w:val="0046108C"/>
    <w:rsid w:val="0047011C"/>
    <w:rsid w:val="00472AA4"/>
    <w:rsid w:val="00473576"/>
    <w:rsid w:val="00476884"/>
    <w:rsid w:val="004769CE"/>
    <w:rsid w:val="00480870"/>
    <w:rsid w:val="0048171A"/>
    <w:rsid w:val="0048751D"/>
    <w:rsid w:val="0049261D"/>
    <w:rsid w:val="00495DE2"/>
    <w:rsid w:val="0049788A"/>
    <w:rsid w:val="004A082F"/>
    <w:rsid w:val="004A217D"/>
    <w:rsid w:val="004A7144"/>
    <w:rsid w:val="004B2040"/>
    <w:rsid w:val="004B4580"/>
    <w:rsid w:val="004B4C66"/>
    <w:rsid w:val="004B4FB8"/>
    <w:rsid w:val="004C0781"/>
    <w:rsid w:val="004C29F6"/>
    <w:rsid w:val="004C7D4D"/>
    <w:rsid w:val="004D19B0"/>
    <w:rsid w:val="004D2044"/>
    <w:rsid w:val="004D316A"/>
    <w:rsid w:val="004D3651"/>
    <w:rsid w:val="004D3F51"/>
    <w:rsid w:val="004E16C3"/>
    <w:rsid w:val="004E24F9"/>
    <w:rsid w:val="004E34D6"/>
    <w:rsid w:val="004E4861"/>
    <w:rsid w:val="004F02A1"/>
    <w:rsid w:val="004F0C4E"/>
    <w:rsid w:val="004F4DA5"/>
    <w:rsid w:val="0050064C"/>
    <w:rsid w:val="005029B0"/>
    <w:rsid w:val="005067FF"/>
    <w:rsid w:val="00507999"/>
    <w:rsid w:val="00510E0E"/>
    <w:rsid w:val="005110F4"/>
    <w:rsid w:val="00512689"/>
    <w:rsid w:val="00514CC5"/>
    <w:rsid w:val="005153C2"/>
    <w:rsid w:val="00515BBB"/>
    <w:rsid w:val="00520B89"/>
    <w:rsid w:val="00525896"/>
    <w:rsid w:val="00526D6C"/>
    <w:rsid w:val="0053102F"/>
    <w:rsid w:val="005322A5"/>
    <w:rsid w:val="00533106"/>
    <w:rsid w:val="00533163"/>
    <w:rsid w:val="00537D3A"/>
    <w:rsid w:val="00542748"/>
    <w:rsid w:val="005449B8"/>
    <w:rsid w:val="005506D3"/>
    <w:rsid w:val="00553DBF"/>
    <w:rsid w:val="00570367"/>
    <w:rsid w:val="00573735"/>
    <w:rsid w:val="0057709D"/>
    <w:rsid w:val="005807C1"/>
    <w:rsid w:val="00581E33"/>
    <w:rsid w:val="00586C43"/>
    <w:rsid w:val="0058701A"/>
    <w:rsid w:val="00587178"/>
    <w:rsid w:val="00590C72"/>
    <w:rsid w:val="00590FFC"/>
    <w:rsid w:val="0059224F"/>
    <w:rsid w:val="005922DC"/>
    <w:rsid w:val="005953A0"/>
    <w:rsid w:val="005961BE"/>
    <w:rsid w:val="00597A4B"/>
    <w:rsid w:val="005A18A6"/>
    <w:rsid w:val="005A1AB2"/>
    <w:rsid w:val="005A1CA2"/>
    <w:rsid w:val="005B08B8"/>
    <w:rsid w:val="005B2AD5"/>
    <w:rsid w:val="005B324C"/>
    <w:rsid w:val="005B4A35"/>
    <w:rsid w:val="005B661E"/>
    <w:rsid w:val="005B6FF6"/>
    <w:rsid w:val="005C069F"/>
    <w:rsid w:val="005C1DB8"/>
    <w:rsid w:val="005C23DF"/>
    <w:rsid w:val="005C2E6E"/>
    <w:rsid w:val="005C7612"/>
    <w:rsid w:val="005D1538"/>
    <w:rsid w:val="005D1EDC"/>
    <w:rsid w:val="005D4BD3"/>
    <w:rsid w:val="005D4D23"/>
    <w:rsid w:val="005D52D5"/>
    <w:rsid w:val="005D7679"/>
    <w:rsid w:val="005E496B"/>
    <w:rsid w:val="005E6CCD"/>
    <w:rsid w:val="005F56A7"/>
    <w:rsid w:val="005F707C"/>
    <w:rsid w:val="00603195"/>
    <w:rsid w:val="006039AC"/>
    <w:rsid w:val="0061118B"/>
    <w:rsid w:val="00612712"/>
    <w:rsid w:val="00612DE8"/>
    <w:rsid w:val="006140C7"/>
    <w:rsid w:val="00621827"/>
    <w:rsid w:val="00623147"/>
    <w:rsid w:val="00624B9C"/>
    <w:rsid w:val="0062595A"/>
    <w:rsid w:val="0062735F"/>
    <w:rsid w:val="00630E33"/>
    <w:rsid w:val="00633208"/>
    <w:rsid w:val="00633771"/>
    <w:rsid w:val="00633CE7"/>
    <w:rsid w:val="00647CA7"/>
    <w:rsid w:val="006508AF"/>
    <w:rsid w:val="0065185F"/>
    <w:rsid w:val="00652D19"/>
    <w:rsid w:val="006654C8"/>
    <w:rsid w:val="0066626C"/>
    <w:rsid w:val="00666D8B"/>
    <w:rsid w:val="00673A51"/>
    <w:rsid w:val="00675A8B"/>
    <w:rsid w:val="00676AD2"/>
    <w:rsid w:val="006821A9"/>
    <w:rsid w:val="0068556F"/>
    <w:rsid w:val="006858DA"/>
    <w:rsid w:val="00686761"/>
    <w:rsid w:val="0069339E"/>
    <w:rsid w:val="00697305"/>
    <w:rsid w:val="00697F82"/>
    <w:rsid w:val="006A3B94"/>
    <w:rsid w:val="006A688C"/>
    <w:rsid w:val="006A68E3"/>
    <w:rsid w:val="006A7B6F"/>
    <w:rsid w:val="006B79E3"/>
    <w:rsid w:val="006C0449"/>
    <w:rsid w:val="006C15E3"/>
    <w:rsid w:val="006C1B38"/>
    <w:rsid w:val="006C1F5A"/>
    <w:rsid w:val="006C3C60"/>
    <w:rsid w:val="006D6E4E"/>
    <w:rsid w:val="006E1FCD"/>
    <w:rsid w:val="006E2C77"/>
    <w:rsid w:val="006E468E"/>
    <w:rsid w:val="006E72B5"/>
    <w:rsid w:val="006F4D4A"/>
    <w:rsid w:val="00701041"/>
    <w:rsid w:val="00701E53"/>
    <w:rsid w:val="00702814"/>
    <w:rsid w:val="00704750"/>
    <w:rsid w:val="0071067B"/>
    <w:rsid w:val="00713578"/>
    <w:rsid w:val="00714DDD"/>
    <w:rsid w:val="00717EF3"/>
    <w:rsid w:val="00720106"/>
    <w:rsid w:val="00720F0B"/>
    <w:rsid w:val="00722D6D"/>
    <w:rsid w:val="00730445"/>
    <w:rsid w:val="00730CDD"/>
    <w:rsid w:val="00730DAD"/>
    <w:rsid w:val="00741138"/>
    <w:rsid w:val="00741BCF"/>
    <w:rsid w:val="00744C4B"/>
    <w:rsid w:val="0074585F"/>
    <w:rsid w:val="00754534"/>
    <w:rsid w:val="00755D34"/>
    <w:rsid w:val="00755F29"/>
    <w:rsid w:val="0075631A"/>
    <w:rsid w:val="00760C1D"/>
    <w:rsid w:val="0076297E"/>
    <w:rsid w:val="00762F1A"/>
    <w:rsid w:val="007640F1"/>
    <w:rsid w:val="00765A4D"/>
    <w:rsid w:val="00767682"/>
    <w:rsid w:val="00770B6B"/>
    <w:rsid w:val="00770FD9"/>
    <w:rsid w:val="00772F42"/>
    <w:rsid w:val="00777722"/>
    <w:rsid w:val="007807F3"/>
    <w:rsid w:val="00780D0C"/>
    <w:rsid w:val="0078283F"/>
    <w:rsid w:val="00782A5F"/>
    <w:rsid w:val="007832C3"/>
    <w:rsid w:val="0078403D"/>
    <w:rsid w:val="00786F96"/>
    <w:rsid w:val="007900BF"/>
    <w:rsid w:val="00791342"/>
    <w:rsid w:val="00792C64"/>
    <w:rsid w:val="00792E56"/>
    <w:rsid w:val="00796413"/>
    <w:rsid w:val="00796BE7"/>
    <w:rsid w:val="00796C5B"/>
    <w:rsid w:val="007A03BF"/>
    <w:rsid w:val="007A1F8A"/>
    <w:rsid w:val="007A527A"/>
    <w:rsid w:val="007B15BD"/>
    <w:rsid w:val="007B2155"/>
    <w:rsid w:val="007B2B33"/>
    <w:rsid w:val="007B5FC3"/>
    <w:rsid w:val="007B7CF6"/>
    <w:rsid w:val="007C21BB"/>
    <w:rsid w:val="007C6CF2"/>
    <w:rsid w:val="007C76F1"/>
    <w:rsid w:val="007D22DD"/>
    <w:rsid w:val="007D3A83"/>
    <w:rsid w:val="007D6E7C"/>
    <w:rsid w:val="007E09FB"/>
    <w:rsid w:val="007E250A"/>
    <w:rsid w:val="007E3287"/>
    <w:rsid w:val="007E6644"/>
    <w:rsid w:val="007F12E7"/>
    <w:rsid w:val="007F2520"/>
    <w:rsid w:val="007F2CAA"/>
    <w:rsid w:val="007F2DCB"/>
    <w:rsid w:val="007F38BF"/>
    <w:rsid w:val="007F5485"/>
    <w:rsid w:val="007F6203"/>
    <w:rsid w:val="0080318B"/>
    <w:rsid w:val="00807449"/>
    <w:rsid w:val="00810B37"/>
    <w:rsid w:val="00810DA5"/>
    <w:rsid w:val="00811ACC"/>
    <w:rsid w:val="00815179"/>
    <w:rsid w:val="0081565C"/>
    <w:rsid w:val="008200E5"/>
    <w:rsid w:val="00820A43"/>
    <w:rsid w:val="00822C63"/>
    <w:rsid w:val="0082552C"/>
    <w:rsid w:val="00825D99"/>
    <w:rsid w:val="00827469"/>
    <w:rsid w:val="00830751"/>
    <w:rsid w:val="00830B69"/>
    <w:rsid w:val="00831560"/>
    <w:rsid w:val="00836188"/>
    <w:rsid w:val="008400FF"/>
    <w:rsid w:val="008402EF"/>
    <w:rsid w:val="0084223C"/>
    <w:rsid w:val="00843E93"/>
    <w:rsid w:val="00844951"/>
    <w:rsid w:val="00844F58"/>
    <w:rsid w:val="0085209B"/>
    <w:rsid w:val="00854E8B"/>
    <w:rsid w:val="00855498"/>
    <w:rsid w:val="008554E9"/>
    <w:rsid w:val="00857532"/>
    <w:rsid w:val="00857669"/>
    <w:rsid w:val="00857AC2"/>
    <w:rsid w:val="00866681"/>
    <w:rsid w:val="008671F6"/>
    <w:rsid w:val="00871950"/>
    <w:rsid w:val="00873ABD"/>
    <w:rsid w:val="00873E7F"/>
    <w:rsid w:val="0087484E"/>
    <w:rsid w:val="00876146"/>
    <w:rsid w:val="008811C9"/>
    <w:rsid w:val="00887E50"/>
    <w:rsid w:val="00891E91"/>
    <w:rsid w:val="0089404C"/>
    <w:rsid w:val="00894FF1"/>
    <w:rsid w:val="008A085C"/>
    <w:rsid w:val="008A2C0B"/>
    <w:rsid w:val="008A7209"/>
    <w:rsid w:val="008B0D79"/>
    <w:rsid w:val="008B6251"/>
    <w:rsid w:val="008C130C"/>
    <w:rsid w:val="008C1AF3"/>
    <w:rsid w:val="008C461A"/>
    <w:rsid w:val="008C5811"/>
    <w:rsid w:val="008D15E0"/>
    <w:rsid w:val="008D48F9"/>
    <w:rsid w:val="008D4C80"/>
    <w:rsid w:val="008D56A4"/>
    <w:rsid w:val="008D5725"/>
    <w:rsid w:val="008E0887"/>
    <w:rsid w:val="008E094E"/>
    <w:rsid w:val="008E0C67"/>
    <w:rsid w:val="008E1CFC"/>
    <w:rsid w:val="008E3404"/>
    <w:rsid w:val="008E5BFB"/>
    <w:rsid w:val="008E6C1B"/>
    <w:rsid w:val="008E6EB6"/>
    <w:rsid w:val="008E7ED8"/>
    <w:rsid w:val="008F2C31"/>
    <w:rsid w:val="008F2FA6"/>
    <w:rsid w:val="008F3A60"/>
    <w:rsid w:val="008F759D"/>
    <w:rsid w:val="0090299C"/>
    <w:rsid w:val="00906178"/>
    <w:rsid w:val="00906929"/>
    <w:rsid w:val="00906AF7"/>
    <w:rsid w:val="00907A7C"/>
    <w:rsid w:val="0091101D"/>
    <w:rsid w:val="00911080"/>
    <w:rsid w:val="009139DE"/>
    <w:rsid w:val="00913E3C"/>
    <w:rsid w:val="009140B7"/>
    <w:rsid w:val="00915BC2"/>
    <w:rsid w:val="00920637"/>
    <w:rsid w:val="00924433"/>
    <w:rsid w:val="009265B1"/>
    <w:rsid w:val="00927B98"/>
    <w:rsid w:val="00931285"/>
    <w:rsid w:val="009314E9"/>
    <w:rsid w:val="00940F9E"/>
    <w:rsid w:val="00944D0A"/>
    <w:rsid w:val="009461B9"/>
    <w:rsid w:val="009540F2"/>
    <w:rsid w:val="00954947"/>
    <w:rsid w:val="00960EF5"/>
    <w:rsid w:val="00963F09"/>
    <w:rsid w:val="00965F96"/>
    <w:rsid w:val="00967407"/>
    <w:rsid w:val="0097083C"/>
    <w:rsid w:val="009737CE"/>
    <w:rsid w:val="00980420"/>
    <w:rsid w:val="00980EE3"/>
    <w:rsid w:val="0098486F"/>
    <w:rsid w:val="009849B1"/>
    <w:rsid w:val="00984B5D"/>
    <w:rsid w:val="00985488"/>
    <w:rsid w:val="0098623C"/>
    <w:rsid w:val="0098702A"/>
    <w:rsid w:val="009A1719"/>
    <w:rsid w:val="009A5B27"/>
    <w:rsid w:val="009A66D6"/>
    <w:rsid w:val="009B1A5C"/>
    <w:rsid w:val="009B2F12"/>
    <w:rsid w:val="009B4E9D"/>
    <w:rsid w:val="009B5652"/>
    <w:rsid w:val="009B5DB0"/>
    <w:rsid w:val="009B6D04"/>
    <w:rsid w:val="009C05AC"/>
    <w:rsid w:val="009C2207"/>
    <w:rsid w:val="009C30B0"/>
    <w:rsid w:val="009C3639"/>
    <w:rsid w:val="009C4F80"/>
    <w:rsid w:val="009C5370"/>
    <w:rsid w:val="009D4577"/>
    <w:rsid w:val="009D71B9"/>
    <w:rsid w:val="009D786F"/>
    <w:rsid w:val="009E7C63"/>
    <w:rsid w:val="009F2621"/>
    <w:rsid w:val="009F3E28"/>
    <w:rsid w:val="009F3EE3"/>
    <w:rsid w:val="009F5B2D"/>
    <w:rsid w:val="00A01192"/>
    <w:rsid w:val="00A03630"/>
    <w:rsid w:val="00A03A9A"/>
    <w:rsid w:val="00A06579"/>
    <w:rsid w:val="00A06B19"/>
    <w:rsid w:val="00A108D8"/>
    <w:rsid w:val="00A10982"/>
    <w:rsid w:val="00A146A7"/>
    <w:rsid w:val="00A16A61"/>
    <w:rsid w:val="00A1745F"/>
    <w:rsid w:val="00A176A4"/>
    <w:rsid w:val="00A20E68"/>
    <w:rsid w:val="00A211C5"/>
    <w:rsid w:val="00A21E31"/>
    <w:rsid w:val="00A22956"/>
    <w:rsid w:val="00A239D6"/>
    <w:rsid w:val="00A30E0B"/>
    <w:rsid w:val="00A3554E"/>
    <w:rsid w:val="00A35BA2"/>
    <w:rsid w:val="00A36979"/>
    <w:rsid w:val="00A3759C"/>
    <w:rsid w:val="00A4196B"/>
    <w:rsid w:val="00A449F8"/>
    <w:rsid w:val="00A47BE9"/>
    <w:rsid w:val="00A509A8"/>
    <w:rsid w:val="00A51212"/>
    <w:rsid w:val="00A5643B"/>
    <w:rsid w:val="00A57D2D"/>
    <w:rsid w:val="00A608AF"/>
    <w:rsid w:val="00A60EFC"/>
    <w:rsid w:val="00A60F56"/>
    <w:rsid w:val="00A6164B"/>
    <w:rsid w:val="00A63828"/>
    <w:rsid w:val="00A63F46"/>
    <w:rsid w:val="00A63FE9"/>
    <w:rsid w:val="00A6571D"/>
    <w:rsid w:val="00A65F2C"/>
    <w:rsid w:val="00A708A2"/>
    <w:rsid w:val="00A708F6"/>
    <w:rsid w:val="00A71D24"/>
    <w:rsid w:val="00A758ED"/>
    <w:rsid w:val="00A777C9"/>
    <w:rsid w:val="00A80910"/>
    <w:rsid w:val="00A8361C"/>
    <w:rsid w:val="00A86F48"/>
    <w:rsid w:val="00A909C5"/>
    <w:rsid w:val="00A95AFF"/>
    <w:rsid w:val="00A966D2"/>
    <w:rsid w:val="00A97F5B"/>
    <w:rsid w:val="00AA02C2"/>
    <w:rsid w:val="00AA181A"/>
    <w:rsid w:val="00AA3883"/>
    <w:rsid w:val="00AA512B"/>
    <w:rsid w:val="00AB2C3B"/>
    <w:rsid w:val="00AB4AB4"/>
    <w:rsid w:val="00AB5747"/>
    <w:rsid w:val="00AC28B2"/>
    <w:rsid w:val="00AC43DD"/>
    <w:rsid w:val="00AC6D04"/>
    <w:rsid w:val="00AD1A5A"/>
    <w:rsid w:val="00AD2CBD"/>
    <w:rsid w:val="00AD3769"/>
    <w:rsid w:val="00AD544F"/>
    <w:rsid w:val="00AD59BC"/>
    <w:rsid w:val="00AE11A6"/>
    <w:rsid w:val="00AE1D4B"/>
    <w:rsid w:val="00AE2976"/>
    <w:rsid w:val="00AE454F"/>
    <w:rsid w:val="00AF38EE"/>
    <w:rsid w:val="00AF4A36"/>
    <w:rsid w:val="00AF5650"/>
    <w:rsid w:val="00AF5EDA"/>
    <w:rsid w:val="00B000ED"/>
    <w:rsid w:val="00B02D67"/>
    <w:rsid w:val="00B033DE"/>
    <w:rsid w:val="00B13217"/>
    <w:rsid w:val="00B14195"/>
    <w:rsid w:val="00B222C8"/>
    <w:rsid w:val="00B251E7"/>
    <w:rsid w:val="00B30EC7"/>
    <w:rsid w:val="00B3181D"/>
    <w:rsid w:val="00B3220A"/>
    <w:rsid w:val="00B33404"/>
    <w:rsid w:val="00B34D7D"/>
    <w:rsid w:val="00B34E08"/>
    <w:rsid w:val="00B357FF"/>
    <w:rsid w:val="00B35ECC"/>
    <w:rsid w:val="00B3695A"/>
    <w:rsid w:val="00B36AD2"/>
    <w:rsid w:val="00B46262"/>
    <w:rsid w:val="00B471B2"/>
    <w:rsid w:val="00B47610"/>
    <w:rsid w:val="00B5140E"/>
    <w:rsid w:val="00B5682E"/>
    <w:rsid w:val="00B56E99"/>
    <w:rsid w:val="00B57CA5"/>
    <w:rsid w:val="00B61499"/>
    <w:rsid w:val="00B61DF7"/>
    <w:rsid w:val="00B62613"/>
    <w:rsid w:val="00B62970"/>
    <w:rsid w:val="00B63BFD"/>
    <w:rsid w:val="00B64E10"/>
    <w:rsid w:val="00B66356"/>
    <w:rsid w:val="00B66F49"/>
    <w:rsid w:val="00B6703F"/>
    <w:rsid w:val="00B672BC"/>
    <w:rsid w:val="00B67671"/>
    <w:rsid w:val="00B71C70"/>
    <w:rsid w:val="00B75A74"/>
    <w:rsid w:val="00B75DC0"/>
    <w:rsid w:val="00B813B1"/>
    <w:rsid w:val="00B825D6"/>
    <w:rsid w:val="00B85748"/>
    <w:rsid w:val="00B86901"/>
    <w:rsid w:val="00B93B25"/>
    <w:rsid w:val="00B93E33"/>
    <w:rsid w:val="00B95D3A"/>
    <w:rsid w:val="00B96C35"/>
    <w:rsid w:val="00BA1C35"/>
    <w:rsid w:val="00BA1EC9"/>
    <w:rsid w:val="00BA3746"/>
    <w:rsid w:val="00BA5306"/>
    <w:rsid w:val="00BA64A8"/>
    <w:rsid w:val="00BB4603"/>
    <w:rsid w:val="00BB588C"/>
    <w:rsid w:val="00BC0D40"/>
    <w:rsid w:val="00BC17A9"/>
    <w:rsid w:val="00BC48DE"/>
    <w:rsid w:val="00BC4E59"/>
    <w:rsid w:val="00BD4A7E"/>
    <w:rsid w:val="00BE5883"/>
    <w:rsid w:val="00BE7BF2"/>
    <w:rsid w:val="00BF15E4"/>
    <w:rsid w:val="00C0174A"/>
    <w:rsid w:val="00C02CEB"/>
    <w:rsid w:val="00C106E8"/>
    <w:rsid w:val="00C11DAA"/>
    <w:rsid w:val="00C1424F"/>
    <w:rsid w:val="00C143C5"/>
    <w:rsid w:val="00C1504C"/>
    <w:rsid w:val="00C158F5"/>
    <w:rsid w:val="00C1795D"/>
    <w:rsid w:val="00C2518D"/>
    <w:rsid w:val="00C267B6"/>
    <w:rsid w:val="00C270BB"/>
    <w:rsid w:val="00C27709"/>
    <w:rsid w:val="00C31413"/>
    <w:rsid w:val="00C32667"/>
    <w:rsid w:val="00C326D3"/>
    <w:rsid w:val="00C33760"/>
    <w:rsid w:val="00C34F5D"/>
    <w:rsid w:val="00C352B0"/>
    <w:rsid w:val="00C35F09"/>
    <w:rsid w:val="00C40ABE"/>
    <w:rsid w:val="00C422BD"/>
    <w:rsid w:val="00C42524"/>
    <w:rsid w:val="00C4325D"/>
    <w:rsid w:val="00C43BB7"/>
    <w:rsid w:val="00C47A6E"/>
    <w:rsid w:val="00C505F0"/>
    <w:rsid w:val="00C51EF7"/>
    <w:rsid w:val="00C5453D"/>
    <w:rsid w:val="00C55D68"/>
    <w:rsid w:val="00C578C5"/>
    <w:rsid w:val="00C627C9"/>
    <w:rsid w:val="00C64C30"/>
    <w:rsid w:val="00C65DF9"/>
    <w:rsid w:val="00C67304"/>
    <w:rsid w:val="00C67B8D"/>
    <w:rsid w:val="00C73096"/>
    <w:rsid w:val="00C730A6"/>
    <w:rsid w:val="00C74FC0"/>
    <w:rsid w:val="00C7639D"/>
    <w:rsid w:val="00C764D0"/>
    <w:rsid w:val="00C81F72"/>
    <w:rsid w:val="00C860FF"/>
    <w:rsid w:val="00C91607"/>
    <w:rsid w:val="00C95B7C"/>
    <w:rsid w:val="00C95E69"/>
    <w:rsid w:val="00C974DC"/>
    <w:rsid w:val="00C97805"/>
    <w:rsid w:val="00C97B78"/>
    <w:rsid w:val="00CA02F3"/>
    <w:rsid w:val="00CA1583"/>
    <w:rsid w:val="00CA3B3D"/>
    <w:rsid w:val="00CA6850"/>
    <w:rsid w:val="00CB449C"/>
    <w:rsid w:val="00CB4B57"/>
    <w:rsid w:val="00CB5A1B"/>
    <w:rsid w:val="00CC1B34"/>
    <w:rsid w:val="00CC2950"/>
    <w:rsid w:val="00CC32C1"/>
    <w:rsid w:val="00CC597C"/>
    <w:rsid w:val="00CD08F4"/>
    <w:rsid w:val="00CD35F5"/>
    <w:rsid w:val="00CD3B4C"/>
    <w:rsid w:val="00CD437B"/>
    <w:rsid w:val="00CD5DBC"/>
    <w:rsid w:val="00CE43C9"/>
    <w:rsid w:val="00CE69BC"/>
    <w:rsid w:val="00CF2F1B"/>
    <w:rsid w:val="00CF37DF"/>
    <w:rsid w:val="00CF47AE"/>
    <w:rsid w:val="00D06373"/>
    <w:rsid w:val="00D0727B"/>
    <w:rsid w:val="00D07A16"/>
    <w:rsid w:val="00D11ACA"/>
    <w:rsid w:val="00D234BA"/>
    <w:rsid w:val="00D251A1"/>
    <w:rsid w:val="00D279F9"/>
    <w:rsid w:val="00D34020"/>
    <w:rsid w:val="00D343DF"/>
    <w:rsid w:val="00D35F7D"/>
    <w:rsid w:val="00D37394"/>
    <w:rsid w:val="00D37A69"/>
    <w:rsid w:val="00D4103B"/>
    <w:rsid w:val="00D41AC8"/>
    <w:rsid w:val="00D46E3F"/>
    <w:rsid w:val="00D50410"/>
    <w:rsid w:val="00D5221E"/>
    <w:rsid w:val="00D525E2"/>
    <w:rsid w:val="00D5448F"/>
    <w:rsid w:val="00D56991"/>
    <w:rsid w:val="00D56C73"/>
    <w:rsid w:val="00D60096"/>
    <w:rsid w:val="00D6159F"/>
    <w:rsid w:val="00D61928"/>
    <w:rsid w:val="00D63D72"/>
    <w:rsid w:val="00D64C26"/>
    <w:rsid w:val="00D6640B"/>
    <w:rsid w:val="00D7553E"/>
    <w:rsid w:val="00D77E9F"/>
    <w:rsid w:val="00D811CC"/>
    <w:rsid w:val="00D86147"/>
    <w:rsid w:val="00D8684E"/>
    <w:rsid w:val="00D87D3B"/>
    <w:rsid w:val="00D91D5B"/>
    <w:rsid w:val="00D92F3C"/>
    <w:rsid w:val="00D932DE"/>
    <w:rsid w:val="00D9330C"/>
    <w:rsid w:val="00D9442D"/>
    <w:rsid w:val="00D96505"/>
    <w:rsid w:val="00D968E5"/>
    <w:rsid w:val="00DA0784"/>
    <w:rsid w:val="00DA2542"/>
    <w:rsid w:val="00DA7215"/>
    <w:rsid w:val="00DB2BFD"/>
    <w:rsid w:val="00DB31C2"/>
    <w:rsid w:val="00DB34FE"/>
    <w:rsid w:val="00DB4424"/>
    <w:rsid w:val="00DB6425"/>
    <w:rsid w:val="00DB7AB4"/>
    <w:rsid w:val="00DC1C55"/>
    <w:rsid w:val="00DC2C52"/>
    <w:rsid w:val="00DC6277"/>
    <w:rsid w:val="00DC7200"/>
    <w:rsid w:val="00DD0A15"/>
    <w:rsid w:val="00DD5D85"/>
    <w:rsid w:val="00DD70C5"/>
    <w:rsid w:val="00DE05A8"/>
    <w:rsid w:val="00DE11EA"/>
    <w:rsid w:val="00DE4060"/>
    <w:rsid w:val="00DF6B5E"/>
    <w:rsid w:val="00DF7587"/>
    <w:rsid w:val="00E01740"/>
    <w:rsid w:val="00E01D6E"/>
    <w:rsid w:val="00E0247E"/>
    <w:rsid w:val="00E03DA8"/>
    <w:rsid w:val="00E0419F"/>
    <w:rsid w:val="00E0446A"/>
    <w:rsid w:val="00E1413E"/>
    <w:rsid w:val="00E14FC2"/>
    <w:rsid w:val="00E151FA"/>
    <w:rsid w:val="00E17894"/>
    <w:rsid w:val="00E25837"/>
    <w:rsid w:val="00E306DE"/>
    <w:rsid w:val="00E30AB4"/>
    <w:rsid w:val="00E35D67"/>
    <w:rsid w:val="00E3611D"/>
    <w:rsid w:val="00E36DA6"/>
    <w:rsid w:val="00E41851"/>
    <w:rsid w:val="00E41D32"/>
    <w:rsid w:val="00E436C3"/>
    <w:rsid w:val="00E57A9F"/>
    <w:rsid w:val="00E60D02"/>
    <w:rsid w:val="00E6326E"/>
    <w:rsid w:val="00E633A4"/>
    <w:rsid w:val="00E723B3"/>
    <w:rsid w:val="00E73014"/>
    <w:rsid w:val="00E7640A"/>
    <w:rsid w:val="00E77F72"/>
    <w:rsid w:val="00E8044A"/>
    <w:rsid w:val="00E812D7"/>
    <w:rsid w:val="00E83E1A"/>
    <w:rsid w:val="00E852D7"/>
    <w:rsid w:val="00E919A1"/>
    <w:rsid w:val="00E93128"/>
    <w:rsid w:val="00E93759"/>
    <w:rsid w:val="00E9423B"/>
    <w:rsid w:val="00EA06BD"/>
    <w:rsid w:val="00EA0B1A"/>
    <w:rsid w:val="00EA14E9"/>
    <w:rsid w:val="00EA1C1C"/>
    <w:rsid w:val="00EA2B99"/>
    <w:rsid w:val="00EA4DF0"/>
    <w:rsid w:val="00EA55BA"/>
    <w:rsid w:val="00EB0D19"/>
    <w:rsid w:val="00EB132C"/>
    <w:rsid w:val="00EB172A"/>
    <w:rsid w:val="00EB1C65"/>
    <w:rsid w:val="00EB1C67"/>
    <w:rsid w:val="00EB4E82"/>
    <w:rsid w:val="00EB503E"/>
    <w:rsid w:val="00EB5750"/>
    <w:rsid w:val="00EC1D93"/>
    <w:rsid w:val="00EC505C"/>
    <w:rsid w:val="00EC6C3A"/>
    <w:rsid w:val="00EC71D4"/>
    <w:rsid w:val="00ED1FBD"/>
    <w:rsid w:val="00ED3C8E"/>
    <w:rsid w:val="00ED58C3"/>
    <w:rsid w:val="00ED5C83"/>
    <w:rsid w:val="00EE0CD9"/>
    <w:rsid w:val="00EE0E9A"/>
    <w:rsid w:val="00EE1114"/>
    <w:rsid w:val="00EE1D11"/>
    <w:rsid w:val="00EE3FA7"/>
    <w:rsid w:val="00EF25B6"/>
    <w:rsid w:val="00EF50DA"/>
    <w:rsid w:val="00EF65A5"/>
    <w:rsid w:val="00EF6E36"/>
    <w:rsid w:val="00F01368"/>
    <w:rsid w:val="00F06E43"/>
    <w:rsid w:val="00F12CCA"/>
    <w:rsid w:val="00F14933"/>
    <w:rsid w:val="00F15538"/>
    <w:rsid w:val="00F155BE"/>
    <w:rsid w:val="00F169BB"/>
    <w:rsid w:val="00F22B1E"/>
    <w:rsid w:val="00F303CE"/>
    <w:rsid w:val="00F308BA"/>
    <w:rsid w:val="00F324C4"/>
    <w:rsid w:val="00F332E0"/>
    <w:rsid w:val="00F3335A"/>
    <w:rsid w:val="00F33912"/>
    <w:rsid w:val="00F36141"/>
    <w:rsid w:val="00F36287"/>
    <w:rsid w:val="00F362CC"/>
    <w:rsid w:val="00F365A9"/>
    <w:rsid w:val="00F420B8"/>
    <w:rsid w:val="00F45474"/>
    <w:rsid w:val="00F5099D"/>
    <w:rsid w:val="00F51FF8"/>
    <w:rsid w:val="00F5224C"/>
    <w:rsid w:val="00F55291"/>
    <w:rsid w:val="00F56878"/>
    <w:rsid w:val="00F61328"/>
    <w:rsid w:val="00F62DB6"/>
    <w:rsid w:val="00F655AF"/>
    <w:rsid w:val="00F67ADD"/>
    <w:rsid w:val="00F72215"/>
    <w:rsid w:val="00F753C6"/>
    <w:rsid w:val="00F75FA5"/>
    <w:rsid w:val="00F7758B"/>
    <w:rsid w:val="00F77639"/>
    <w:rsid w:val="00F90584"/>
    <w:rsid w:val="00F90BDB"/>
    <w:rsid w:val="00F950B8"/>
    <w:rsid w:val="00F97C00"/>
    <w:rsid w:val="00FA0157"/>
    <w:rsid w:val="00FA6014"/>
    <w:rsid w:val="00FA694C"/>
    <w:rsid w:val="00FA6A7D"/>
    <w:rsid w:val="00FB0E2D"/>
    <w:rsid w:val="00FB4EC2"/>
    <w:rsid w:val="00FB5284"/>
    <w:rsid w:val="00FC1C98"/>
    <w:rsid w:val="00FC1CDC"/>
    <w:rsid w:val="00FC3F8C"/>
    <w:rsid w:val="00FC666A"/>
    <w:rsid w:val="00FC7754"/>
    <w:rsid w:val="00FD1537"/>
    <w:rsid w:val="00FD22E1"/>
    <w:rsid w:val="00FD4212"/>
    <w:rsid w:val="00FD4EAC"/>
    <w:rsid w:val="00FD64CA"/>
    <w:rsid w:val="00FD68E2"/>
    <w:rsid w:val="00FD7CC3"/>
    <w:rsid w:val="00FE011A"/>
    <w:rsid w:val="00FE1ADF"/>
    <w:rsid w:val="00FE2768"/>
    <w:rsid w:val="00FE42F1"/>
    <w:rsid w:val="00FE649B"/>
    <w:rsid w:val="00FF0D92"/>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E819"/>
  <w15:chartTrackingRefBased/>
  <w15:docId w15:val="{EF4A737E-E1A0-48D5-A61E-EDFEDCC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5F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5F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5F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A65F2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65F2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65F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65F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65F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65F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5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2C"/>
    <w:rPr>
      <w:rFonts w:eastAsiaTheme="majorEastAsia" w:cstheme="majorBidi"/>
      <w:color w:val="272727" w:themeColor="text1" w:themeTint="D8"/>
    </w:rPr>
  </w:style>
  <w:style w:type="paragraph" w:styleId="Title">
    <w:name w:val="Title"/>
    <w:basedOn w:val="Normal"/>
    <w:next w:val="Normal"/>
    <w:link w:val="TitleChar"/>
    <w:uiPriority w:val="10"/>
    <w:qFormat/>
    <w:rsid w:val="00A65F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5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5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2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65F2C"/>
    <w:rPr>
      <w:i/>
      <w:iCs/>
      <w:color w:val="404040" w:themeColor="text1" w:themeTint="BF"/>
    </w:rPr>
  </w:style>
  <w:style w:type="paragraph" w:styleId="ListParagraph">
    <w:name w:val="List Paragraph"/>
    <w:basedOn w:val="Normal"/>
    <w:uiPriority w:val="34"/>
    <w:qFormat/>
    <w:rsid w:val="00A65F2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65F2C"/>
    <w:rPr>
      <w:i/>
      <w:iCs/>
      <w:color w:val="0F4761" w:themeColor="accent1" w:themeShade="BF"/>
    </w:rPr>
  </w:style>
  <w:style w:type="paragraph" w:styleId="IntenseQuote">
    <w:name w:val="Intense Quote"/>
    <w:basedOn w:val="Normal"/>
    <w:next w:val="Normal"/>
    <w:link w:val="IntenseQuoteChar"/>
    <w:uiPriority w:val="30"/>
    <w:qFormat/>
    <w:rsid w:val="00A65F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65F2C"/>
    <w:rPr>
      <w:i/>
      <w:iCs/>
      <w:color w:val="0F4761" w:themeColor="accent1" w:themeShade="BF"/>
    </w:rPr>
  </w:style>
  <w:style w:type="character" w:styleId="IntenseReference">
    <w:name w:val="Intense Reference"/>
    <w:basedOn w:val="DefaultParagraphFont"/>
    <w:uiPriority w:val="32"/>
    <w:qFormat/>
    <w:rsid w:val="00A65F2C"/>
    <w:rPr>
      <w:b/>
      <w:bCs/>
      <w:smallCaps/>
      <w:color w:val="0F4761" w:themeColor="accent1" w:themeShade="BF"/>
      <w:spacing w:val="5"/>
    </w:rPr>
  </w:style>
  <w:style w:type="paragraph" w:styleId="FootnoteText">
    <w:name w:val="footnote text"/>
    <w:basedOn w:val="Normal"/>
    <w:link w:val="FootnoteTextChar"/>
    <w:uiPriority w:val="99"/>
    <w:unhideWhenUsed/>
    <w:rsid w:val="00542748"/>
    <w:pPr>
      <w:spacing w:after="0" w:line="240" w:lineRule="auto"/>
    </w:pPr>
    <w:rPr>
      <w:sz w:val="20"/>
      <w:szCs w:val="20"/>
    </w:rPr>
  </w:style>
  <w:style w:type="character" w:customStyle="1" w:styleId="FootnoteTextChar">
    <w:name w:val="Footnote Text Char"/>
    <w:basedOn w:val="DefaultParagraphFont"/>
    <w:link w:val="FootnoteText"/>
    <w:uiPriority w:val="99"/>
    <w:rsid w:val="00542748"/>
    <w:rPr>
      <w:kern w:val="0"/>
      <w:sz w:val="20"/>
      <w:szCs w:val="20"/>
      <w14:ligatures w14:val="none"/>
    </w:rPr>
  </w:style>
  <w:style w:type="character" w:styleId="FootnoteReference">
    <w:name w:val="footnote reference"/>
    <w:basedOn w:val="DefaultParagraphFont"/>
    <w:uiPriority w:val="99"/>
    <w:unhideWhenUsed/>
    <w:qFormat/>
    <w:rsid w:val="00542748"/>
    <w:rPr>
      <w:vertAlign w:val="superscript"/>
    </w:rPr>
  </w:style>
  <w:style w:type="character" w:styleId="Hyperlink">
    <w:name w:val="Hyperlink"/>
    <w:basedOn w:val="DefaultParagraphFont"/>
    <w:uiPriority w:val="99"/>
    <w:unhideWhenUsed/>
    <w:rsid w:val="00542748"/>
    <w:rPr>
      <w:color w:val="0000FF"/>
      <w:u w:val="single"/>
    </w:rPr>
  </w:style>
  <w:style w:type="character" w:styleId="UnresolvedMention">
    <w:name w:val="Unresolved Mention"/>
    <w:basedOn w:val="DefaultParagraphFont"/>
    <w:uiPriority w:val="99"/>
    <w:semiHidden/>
    <w:unhideWhenUsed/>
    <w:rsid w:val="00DA7215"/>
    <w:rPr>
      <w:color w:val="605E5C"/>
      <w:shd w:val="clear" w:color="auto" w:fill="E1DFDD"/>
    </w:rPr>
  </w:style>
  <w:style w:type="paragraph" w:styleId="Revision">
    <w:name w:val="Revision"/>
    <w:hidden/>
    <w:uiPriority w:val="99"/>
    <w:semiHidden/>
    <w:rsid w:val="00EC505C"/>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D11ACA"/>
    <w:rPr>
      <w:color w:val="96607D" w:themeColor="followedHyperlink"/>
      <w:u w:val="single"/>
    </w:rPr>
  </w:style>
  <w:style w:type="character" w:styleId="CommentReference">
    <w:name w:val="annotation reference"/>
    <w:basedOn w:val="DefaultParagraphFont"/>
    <w:uiPriority w:val="99"/>
    <w:semiHidden/>
    <w:unhideWhenUsed/>
    <w:rsid w:val="0015589B"/>
    <w:rPr>
      <w:sz w:val="16"/>
      <w:szCs w:val="16"/>
    </w:rPr>
  </w:style>
  <w:style w:type="paragraph" w:styleId="CommentText">
    <w:name w:val="annotation text"/>
    <w:basedOn w:val="Normal"/>
    <w:link w:val="CommentTextChar"/>
    <w:uiPriority w:val="99"/>
    <w:unhideWhenUsed/>
    <w:rsid w:val="0015589B"/>
    <w:pPr>
      <w:spacing w:line="240" w:lineRule="auto"/>
    </w:pPr>
    <w:rPr>
      <w:sz w:val="20"/>
      <w:szCs w:val="20"/>
    </w:rPr>
  </w:style>
  <w:style w:type="character" w:customStyle="1" w:styleId="CommentTextChar">
    <w:name w:val="Comment Text Char"/>
    <w:basedOn w:val="DefaultParagraphFont"/>
    <w:link w:val="CommentText"/>
    <w:uiPriority w:val="99"/>
    <w:rsid w:val="0015589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589B"/>
    <w:rPr>
      <w:b/>
      <w:bCs/>
    </w:rPr>
  </w:style>
  <w:style w:type="character" w:customStyle="1" w:styleId="CommentSubjectChar">
    <w:name w:val="Comment Subject Char"/>
    <w:basedOn w:val="CommentTextChar"/>
    <w:link w:val="CommentSubject"/>
    <w:uiPriority w:val="99"/>
    <w:semiHidden/>
    <w:rsid w:val="0015589B"/>
    <w:rPr>
      <w:b/>
      <w:bCs/>
      <w:kern w:val="0"/>
      <w:sz w:val="20"/>
      <w:szCs w:val="20"/>
      <w14:ligatures w14:val="none"/>
    </w:rPr>
  </w:style>
  <w:style w:type="paragraph" w:styleId="Header">
    <w:name w:val="header"/>
    <w:basedOn w:val="Normal"/>
    <w:link w:val="HeaderChar"/>
    <w:uiPriority w:val="99"/>
    <w:unhideWhenUsed/>
    <w:rsid w:val="000A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ED8"/>
    <w:rPr>
      <w:kern w:val="0"/>
      <w:sz w:val="22"/>
      <w:szCs w:val="22"/>
      <w14:ligatures w14:val="none"/>
    </w:rPr>
  </w:style>
  <w:style w:type="paragraph" w:styleId="Footer">
    <w:name w:val="footer"/>
    <w:basedOn w:val="Normal"/>
    <w:link w:val="FooterChar"/>
    <w:uiPriority w:val="99"/>
    <w:unhideWhenUsed/>
    <w:rsid w:val="000A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D8"/>
    <w:rPr>
      <w:kern w:val="0"/>
      <w:sz w:val="22"/>
      <w:szCs w:val="22"/>
      <w14:ligatures w14:val="none"/>
    </w:rPr>
  </w:style>
  <w:style w:type="paragraph" w:styleId="BodyText">
    <w:name w:val="Body Text"/>
    <w:basedOn w:val="Normal"/>
    <w:link w:val="BodyTextChar"/>
    <w:qFormat/>
    <w:rsid w:val="002A6D93"/>
    <w:pPr>
      <w:spacing w:after="240" w:line="240" w:lineRule="auto"/>
    </w:pPr>
    <w:rPr>
      <w:rFonts w:ascii="Century" w:eastAsia="Times New Roman" w:hAnsi="Century"/>
      <w:kern w:val="2"/>
      <w:sz w:val="24"/>
      <w:szCs w:val="24"/>
      <w14:ligatures w14:val="standardContextual"/>
    </w:rPr>
  </w:style>
  <w:style w:type="character" w:customStyle="1" w:styleId="BodyTextChar">
    <w:name w:val="Body Text Char"/>
    <w:basedOn w:val="DefaultParagraphFont"/>
    <w:link w:val="BodyText"/>
    <w:rsid w:val="002A6D93"/>
    <w:rPr>
      <w:rFonts w:ascii="Century" w:eastAsia="Times New Roman" w:hAnsi="Century"/>
    </w:rPr>
  </w:style>
  <w:style w:type="paragraph" w:styleId="EndnoteText">
    <w:name w:val="endnote text"/>
    <w:basedOn w:val="Normal"/>
    <w:link w:val="EndnoteTextChar"/>
    <w:uiPriority w:val="99"/>
    <w:semiHidden/>
    <w:unhideWhenUsed/>
    <w:rsid w:val="0025351E"/>
    <w:pPr>
      <w:spacing w:after="0" w:line="240" w:lineRule="auto"/>
    </w:pPr>
    <w:rPr>
      <w:kern w:val="2"/>
      <w:sz w:val="20"/>
      <w:szCs w:val="20"/>
      <w:lang w:bidi="he-IL"/>
      <w14:ligatures w14:val="standardContextual"/>
    </w:rPr>
  </w:style>
  <w:style w:type="character" w:customStyle="1" w:styleId="EndnoteTextChar">
    <w:name w:val="Endnote Text Char"/>
    <w:basedOn w:val="DefaultParagraphFont"/>
    <w:link w:val="EndnoteText"/>
    <w:uiPriority w:val="99"/>
    <w:semiHidden/>
    <w:rsid w:val="0025351E"/>
    <w:rPr>
      <w:sz w:val="20"/>
      <w:szCs w:val="20"/>
      <w:lang w:bidi="he-IL"/>
    </w:rPr>
  </w:style>
  <w:style w:type="character" w:styleId="EndnoteReference">
    <w:name w:val="endnote reference"/>
    <w:basedOn w:val="DefaultParagraphFont"/>
    <w:uiPriority w:val="99"/>
    <w:semiHidden/>
    <w:unhideWhenUsed/>
    <w:rsid w:val="0025351E"/>
    <w:rPr>
      <w:vertAlign w:val="superscript"/>
    </w:rPr>
  </w:style>
  <w:style w:type="character" w:styleId="Emphasis">
    <w:name w:val="Emphasis"/>
    <w:basedOn w:val="DefaultParagraphFont"/>
    <w:uiPriority w:val="20"/>
    <w:qFormat/>
    <w:rsid w:val="0025351E"/>
    <w:rPr>
      <w:i/>
      <w:iCs/>
    </w:rPr>
  </w:style>
  <w:style w:type="paragraph" w:customStyle="1" w:styleId="FootNote">
    <w:name w:val="_FootNote"/>
    <w:basedOn w:val="Normal"/>
    <w:link w:val="FootNoteChar"/>
    <w:qFormat/>
    <w:rsid w:val="00876146"/>
    <w:pPr>
      <w:widowControl w:val="0"/>
      <w:suppressLineNumbers/>
      <w:tabs>
        <w:tab w:val="right" w:pos="400"/>
        <w:tab w:val="left" w:pos="520"/>
      </w:tabs>
      <w:spacing w:before="60" w:after="0" w:line="200" w:lineRule="exact"/>
      <w:ind w:left="520" w:hanging="520"/>
      <w:jc w:val="both"/>
    </w:pPr>
    <w:rPr>
      <w:rFonts w:ascii="Palatino" w:eastAsia="Times New Roman" w:hAnsi="Palatino" w:cs="Times New Roman"/>
      <w:sz w:val="18"/>
      <w:szCs w:val="20"/>
    </w:rPr>
  </w:style>
  <w:style w:type="character" w:customStyle="1" w:styleId="NoterefInNote">
    <w:name w:val="_NoterefInNote"/>
    <w:basedOn w:val="DefaultParagraphFont"/>
    <w:qFormat/>
    <w:rsid w:val="00876146"/>
    <w:rPr>
      <w:rFonts w:ascii="Palatino" w:hAnsi="Palatino"/>
      <w:dstrike w:val="0"/>
      <w:color w:val="auto"/>
      <w:sz w:val="18"/>
      <w:vertAlign w:val="baseline"/>
    </w:rPr>
  </w:style>
  <w:style w:type="character" w:customStyle="1" w:styleId="FootNoteChar">
    <w:name w:val="_FootNote Char"/>
    <w:link w:val="FootNote"/>
    <w:locked/>
    <w:rsid w:val="00876146"/>
    <w:rPr>
      <w:rFonts w:ascii="Palatino" w:eastAsia="Times New Roman" w:hAnsi="Palatino"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917">
      <w:bodyDiv w:val="1"/>
      <w:marLeft w:val="0"/>
      <w:marRight w:val="0"/>
      <w:marTop w:val="0"/>
      <w:marBottom w:val="0"/>
      <w:divBdr>
        <w:top w:val="none" w:sz="0" w:space="0" w:color="auto"/>
        <w:left w:val="none" w:sz="0" w:space="0" w:color="auto"/>
        <w:bottom w:val="none" w:sz="0" w:space="0" w:color="auto"/>
        <w:right w:val="none" w:sz="0" w:space="0" w:color="auto"/>
      </w:divBdr>
    </w:div>
    <w:div w:id="15002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C765-F1FD-4547-87EE-8E391190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2045</Words>
  <Characters>11883</Characters>
  <Application>Microsoft Office Word</Application>
  <DocSecurity>0</DocSecurity>
  <Lines>208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OShea</dc:creator>
  <cp:keywords/>
  <dc:description/>
  <cp:lastModifiedBy>James Copland</cp:lastModifiedBy>
  <cp:revision>136</cp:revision>
  <cp:lastPrinted>2025-03-25T20:01:00Z</cp:lastPrinted>
  <dcterms:created xsi:type="dcterms:W3CDTF">2025-11-18T07:47:00Z</dcterms:created>
  <dcterms:modified xsi:type="dcterms:W3CDTF">2025-12-09T19:39:00Z</dcterms:modified>
</cp:coreProperties>
</file>